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9.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E836" w14:textId="1B754FD0" w:rsidR="00CD47FF" w:rsidRDefault="00CD47FF" w:rsidP="00A93D7F">
      <w:pPr>
        <w:rPr>
          <w:b/>
          <w:sz w:val="28"/>
        </w:rPr>
      </w:pPr>
    </w:p>
    <w:p w14:paraId="7E83A2BE" w14:textId="7D961899" w:rsidR="00CD47FF" w:rsidRDefault="00CD47FF" w:rsidP="00A93D7F">
      <w:pPr>
        <w:rPr>
          <w:sz w:val="28"/>
        </w:rPr>
      </w:pPr>
    </w:p>
    <w:p w14:paraId="61B9BE8C" w14:textId="77777777" w:rsidR="00CD47FF" w:rsidRDefault="00CD47FF" w:rsidP="00CD47FF">
      <w:pPr>
        <w:pStyle w:val="af8"/>
        <w:widowControl/>
        <w:spacing w:line="276" w:lineRule="auto"/>
        <w:ind w:left="0" w:firstLine="0"/>
        <w:jc w:val="center"/>
        <w:rPr>
          <w:b/>
          <w:sz w:val="40"/>
          <w:szCs w:val="40"/>
        </w:rPr>
      </w:pPr>
    </w:p>
    <w:p w14:paraId="2DCFE856" w14:textId="77777777" w:rsidR="00CD47FF" w:rsidRDefault="00CD47FF" w:rsidP="00CD47FF">
      <w:pPr>
        <w:pStyle w:val="af8"/>
        <w:widowControl/>
        <w:spacing w:line="276" w:lineRule="auto"/>
        <w:ind w:left="0" w:firstLine="0"/>
        <w:jc w:val="center"/>
        <w:rPr>
          <w:b/>
          <w:sz w:val="40"/>
          <w:szCs w:val="40"/>
        </w:rPr>
      </w:pPr>
    </w:p>
    <w:p w14:paraId="1C10FF2A" w14:textId="77777777" w:rsidR="00CD47FF" w:rsidRDefault="00CD47FF" w:rsidP="00CD47FF">
      <w:pPr>
        <w:pStyle w:val="af8"/>
        <w:widowControl/>
        <w:spacing w:line="276" w:lineRule="auto"/>
        <w:ind w:left="0" w:firstLine="0"/>
        <w:jc w:val="center"/>
        <w:rPr>
          <w:b/>
          <w:sz w:val="40"/>
          <w:szCs w:val="40"/>
        </w:rPr>
      </w:pPr>
    </w:p>
    <w:p w14:paraId="5319B284" w14:textId="77777777" w:rsidR="00CD47FF" w:rsidRDefault="00CD47FF" w:rsidP="00CD47FF">
      <w:pPr>
        <w:pStyle w:val="af8"/>
        <w:widowControl/>
        <w:spacing w:line="276" w:lineRule="auto"/>
        <w:ind w:left="0" w:firstLine="0"/>
        <w:jc w:val="center"/>
        <w:rPr>
          <w:b/>
          <w:sz w:val="40"/>
          <w:szCs w:val="40"/>
        </w:rPr>
      </w:pPr>
    </w:p>
    <w:p w14:paraId="1BE25E01" w14:textId="77777777" w:rsidR="00CD47FF" w:rsidRDefault="00CD47FF" w:rsidP="00CD47FF">
      <w:pPr>
        <w:pStyle w:val="af8"/>
        <w:widowControl/>
        <w:spacing w:line="276" w:lineRule="auto"/>
        <w:ind w:left="0" w:firstLine="0"/>
        <w:jc w:val="center"/>
        <w:rPr>
          <w:b/>
          <w:sz w:val="40"/>
          <w:szCs w:val="40"/>
        </w:rPr>
      </w:pPr>
    </w:p>
    <w:p w14:paraId="563CFCFE" w14:textId="77777777" w:rsidR="00CD47FF" w:rsidRDefault="00CD47FF" w:rsidP="00CD47FF">
      <w:pPr>
        <w:pStyle w:val="af8"/>
        <w:widowControl/>
        <w:spacing w:line="276" w:lineRule="auto"/>
        <w:ind w:left="0" w:firstLine="0"/>
        <w:jc w:val="center"/>
        <w:rPr>
          <w:b/>
          <w:sz w:val="40"/>
          <w:szCs w:val="40"/>
        </w:rPr>
      </w:pPr>
    </w:p>
    <w:p w14:paraId="1B9B642C" w14:textId="0FA901E1" w:rsidR="00CD47FF" w:rsidRDefault="00CD47FF" w:rsidP="00CD47FF">
      <w:pPr>
        <w:pStyle w:val="af8"/>
        <w:widowControl/>
        <w:spacing w:line="276" w:lineRule="auto"/>
        <w:ind w:left="0" w:firstLine="0"/>
        <w:jc w:val="center"/>
        <w:rPr>
          <w:b/>
          <w:sz w:val="40"/>
          <w:szCs w:val="40"/>
        </w:rPr>
      </w:pPr>
      <w:r>
        <w:rPr>
          <w:b/>
          <w:sz w:val="40"/>
          <w:szCs w:val="40"/>
        </w:rPr>
        <w:t>ПРОЕКТ СТРАТЕГИИ</w:t>
      </w:r>
    </w:p>
    <w:p w14:paraId="335EA2E8" w14:textId="77777777" w:rsidR="00CD47FF" w:rsidRPr="00F72B32" w:rsidRDefault="00CD47FF" w:rsidP="00CD47FF">
      <w:pPr>
        <w:pStyle w:val="af8"/>
        <w:widowControl/>
        <w:spacing w:line="276" w:lineRule="auto"/>
        <w:ind w:left="0" w:firstLine="0"/>
        <w:jc w:val="center"/>
        <w:rPr>
          <w:b/>
          <w:sz w:val="40"/>
          <w:szCs w:val="40"/>
        </w:rPr>
      </w:pPr>
      <w:r w:rsidRPr="00F72B32">
        <w:rPr>
          <w:b/>
          <w:sz w:val="40"/>
          <w:szCs w:val="40"/>
        </w:rPr>
        <w:t>СОЦИАЛЬНО – ЭКОНОМИЧЕСКОГО РАЗВИТИЯ</w:t>
      </w:r>
    </w:p>
    <w:p w14:paraId="509C7D97" w14:textId="77777777" w:rsidR="00CD47FF" w:rsidRPr="000C5584" w:rsidRDefault="00CD47FF" w:rsidP="00CD47FF">
      <w:pPr>
        <w:pStyle w:val="af8"/>
        <w:widowControl/>
        <w:spacing w:line="276" w:lineRule="auto"/>
        <w:ind w:left="0" w:firstLine="0"/>
        <w:jc w:val="center"/>
        <w:rPr>
          <w:b/>
          <w:sz w:val="40"/>
          <w:szCs w:val="40"/>
        </w:rPr>
      </w:pPr>
      <w:r w:rsidRPr="000C5584">
        <w:rPr>
          <w:b/>
          <w:sz w:val="40"/>
          <w:szCs w:val="40"/>
        </w:rPr>
        <w:t>МУНИЦИПАЛЬНОГО ОБРАЗОВАНИЯ НЕФТЕЮГАНСКИЙ РАЙОН</w:t>
      </w:r>
    </w:p>
    <w:p w14:paraId="1E8AE57F" w14:textId="77777777" w:rsidR="00CD47FF" w:rsidRPr="00F72B32" w:rsidRDefault="00CD47FF" w:rsidP="00CD47FF">
      <w:pPr>
        <w:pStyle w:val="af8"/>
        <w:widowControl/>
        <w:spacing w:line="276" w:lineRule="auto"/>
        <w:ind w:left="0" w:firstLine="0"/>
        <w:jc w:val="center"/>
        <w:rPr>
          <w:b/>
          <w:sz w:val="40"/>
          <w:szCs w:val="40"/>
        </w:rPr>
      </w:pPr>
      <w:r w:rsidRPr="00F72B32">
        <w:rPr>
          <w:b/>
          <w:sz w:val="40"/>
          <w:szCs w:val="40"/>
        </w:rPr>
        <w:t>ДО 2030 ГОДА</w:t>
      </w:r>
    </w:p>
    <w:p w14:paraId="023AA50A" w14:textId="281842D4" w:rsidR="00CD47FF" w:rsidRDefault="00CD47FF" w:rsidP="00A93D7F">
      <w:pPr>
        <w:rPr>
          <w:sz w:val="28"/>
        </w:rPr>
      </w:pPr>
    </w:p>
    <w:p w14:paraId="45C8787C" w14:textId="77777777" w:rsidR="00837C89" w:rsidRPr="003D292D" w:rsidRDefault="00837C89" w:rsidP="00A93D7F">
      <w:pPr>
        <w:rPr>
          <w:b/>
          <w:sz w:val="28"/>
        </w:rPr>
      </w:pPr>
      <w:r w:rsidRPr="00CD47FF">
        <w:rPr>
          <w:sz w:val="28"/>
        </w:rPr>
        <w:br w:type="column"/>
      </w:r>
      <w:r w:rsidRPr="003D292D">
        <w:rPr>
          <w:b/>
          <w:sz w:val="28"/>
        </w:rPr>
        <w:lastRenderedPageBreak/>
        <w:t>СОДЕРЖАНИЕ</w:t>
      </w:r>
    </w:p>
    <w:p w14:paraId="2FD62027" w14:textId="77777777" w:rsidR="00304F31" w:rsidRDefault="00304F31" w:rsidP="003D292D">
      <w:pPr>
        <w:pStyle w:val="1"/>
        <w:numPr>
          <w:ilvl w:val="0"/>
          <w:numId w:val="0"/>
        </w:numPr>
      </w:pPr>
      <w:bookmarkStart w:id="0" w:name="_Toc503913865"/>
    </w:p>
    <w:p w14:paraId="22586016" w14:textId="77777777" w:rsidR="00CD47FF" w:rsidRDefault="00C86B49">
      <w:pPr>
        <w:pStyle w:val="11"/>
        <w:tabs>
          <w:tab w:val="right" w:leader="dot" w:pos="9339"/>
        </w:tabs>
        <w:rPr>
          <w:rFonts w:asciiTheme="minorHAnsi" w:eastAsiaTheme="minorEastAsia" w:hAnsiTheme="minorHAnsi" w:cstheme="minorBidi"/>
          <w:noProof/>
        </w:rPr>
      </w:pPr>
      <w:r>
        <w:fldChar w:fldCharType="begin"/>
      </w:r>
      <w:r>
        <w:instrText xml:space="preserve"> TOC \o "1-4" \h \z </w:instrText>
      </w:r>
      <w:r>
        <w:fldChar w:fldCharType="separate"/>
      </w:r>
      <w:hyperlink w:anchor="_Toc504055096" w:history="1">
        <w:r w:rsidR="00CD47FF" w:rsidRPr="001F2593">
          <w:rPr>
            <w:rStyle w:val="a8"/>
            <w:noProof/>
          </w:rPr>
          <w:t>ВВЕДЕНИЕ</w:t>
        </w:r>
        <w:r w:rsidR="00CD47FF">
          <w:rPr>
            <w:noProof/>
            <w:webHidden/>
          </w:rPr>
          <w:tab/>
        </w:r>
        <w:r w:rsidR="00CD47FF">
          <w:rPr>
            <w:noProof/>
            <w:webHidden/>
          </w:rPr>
          <w:fldChar w:fldCharType="begin"/>
        </w:r>
        <w:r w:rsidR="00CD47FF">
          <w:rPr>
            <w:noProof/>
            <w:webHidden/>
          </w:rPr>
          <w:instrText xml:space="preserve"> PAGEREF _Toc504055096 \h </w:instrText>
        </w:r>
        <w:r w:rsidR="00CD47FF">
          <w:rPr>
            <w:noProof/>
            <w:webHidden/>
          </w:rPr>
        </w:r>
        <w:r w:rsidR="00CD47FF">
          <w:rPr>
            <w:noProof/>
            <w:webHidden/>
          </w:rPr>
          <w:fldChar w:fldCharType="separate"/>
        </w:r>
        <w:r w:rsidR="00ED1BAA">
          <w:rPr>
            <w:noProof/>
            <w:webHidden/>
          </w:rPr>
          <w:t>4</w:t>
        </w:r>
        <w:r w:rsidR="00CD47FF">
          <w:rPr>
            <w:noProof/>
            <w:webHidden/>
          </w:rPr>
          <w:fldChar w:fldCharType="end"/>
        </w:r>
      </w:hyperlink>
    </w:p>
    <w:p w14:paraId="336AF2CD" w14:textId="77777777" w:rsidR="00CD47FF" w:rsidRDefault="00E67B48">
      <w:pPr>
        <w:pStyle w:val="11"/>
        <w:tabs>
          <w:tab w:val="left" w:pos="1200"/>
          <w:tab w:val="right" w:leader="dot" w:pos="9339"/>
        </w:tabs>
        <w:rPr>
          <w:rFonts w:asciiTheme="minorHAnsi" w:eastAsiaTheme="minorEastAsia" w:hAnsiTheme="minorHAnsi" w:cstheme="minorBidi"/>
          <w:noProof/>
        </w:rPr>
      </w:pPr>
      <w:hyperlink w:anchor="_Toc504055097" w:history="1">
        <w:r w:rsidR="00CD47FF" w:rsidRPr="001F2593">
          <w:rPr>
            <w:rStyle w:val="a8"/>
            <w:noProof/>
          </w:rPr>
          <w:t>1.</w:t>
        </w:r>
        <w:r w:rsidR="00CD47FF">
          <w:rPr>
            <w:rFonts w:asciiTheme="minorHAnsi" w:eastAsiaTheme="minorEastAsia" w:hAnsiTheme="minorHAnsi" w:cstheme="minorBidi"/>
            <w:noProof/>
          </w:rPr>
          <w:tab/>
        </w:r>
        <w:r w:rsidR="00CD47FF" w:rsidRPr="001F2593">
          <w:rPr>
            <w:rStyle w:val="a8"/>
            <w:noProof/>
          </w:rPr>
          <w:t>АНАЛИЗ И СЦЕНАРИИ СОЦИАЛЬНО-ЭКОНОМИЧЕСКОГО РАЗВИТИЯ НЕФТЕЮГАНСКОГО РАЙОНА</w:t>
        </w:r>
        <w:r w:rsidR="00CD47FF">
          <w:rPr>
            <w:noProof/>
            <w:webHidden/>
          </w:rPr>
          <w:tab/>
        </w:r>
        <w:r w:rsidR="00CD47FF">
          <w:rPr>
            <w:noProof/>
            <w:webHidden/>
          </w:rPr>
          <w:fldChar w:fldCharType="begin"/>
        </w:r>
        <w:r w:rsidR="00CD47FF">
          <w:rPr>
            <w:noProof/>
            <w:webHidden/>
          </w:rPr>
          <w:instrText xml:space="preserve"> PAGEREF _Toc504055097 \h </w:instrText>
        </w:r>
        <w:r w:rsidR="00CD47FF">
          <w:rPr>
            <w:noProof/>
            <w:webHidden/>
          </w:rPr>
        </w:r>
        <w:r w:rsidR="00CD47FF">
          <w:rPr>
            <w:noProof/>
            <w:webHidden/>
          </w:rPr>
          <w:fldChar w:fldCharType="separate"/>
        </w:r>
        <w:r w:rsidR="00ED1BAA">
          <w:rPr>
            <w:noProof/>
            <w:webHidden/>
          </w:rPr>
          <w:t>6</w:t>
        </w:r>
        <w:r w:rsidR="00CD47FF">
          <w:rPr>
            <w:noProof/>
            <w:webHidden/>
          </w:rPr>
          <w:fldChar w:fldCharType="end"/>
        </w:r>
      </w:hyperlink>
    </w:p>
    <w:p w14:paraId="28F16EE7"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098" w:history="1">
        <w:r w:rsidR="00CD47FF" w:rsidRPr="001F2593">
          <w:rPr>
            <w:rStyle w:val="a8"/>
            <w:noProof/>
          </w:rPr>
          <w:t>1.1.</w:t>
        </w:r>
        <w:r w:rsidR="00CD47FF">
          <w:rPr>
            <w:rFonts w:asciiTheme="minorHAnsi" w:eastAsiaTheme="minorEastAsia" w:hAnsiTheme="minorHAnsi" w:cstheme="minorBidi"/>
            <w:noProof/>
          </w:rPr>
          <w:tab/>
        </w:r>
        <w:r w:rsidR="00CD47FF" w:rsidRPr="001F2593">
          <w:rPr>
            <w:rStyle w:val="a8"/>
            <w:noProof/>
          </w:rPr>
          <w:t>Краткая экономико-географическая справка</w:t>
        </w:r>
        <w:r w:rsidR="00CD47FF">
          <w:rPr>
            <w:noProof/>
            <w:webHidden/>
          </w:rPr>
          <w:tab/>
        </w:r>
        <w:r w:rsidR="00CD47FF">
          <w:rPr>
            <w:noProof/>
            <w:webHidden/>
          </w:rPr>
          <w:fldChar w:fldCharType="begin"/>
        </w:r>
        <w:r w:rsidR="00CD47FF">
          <w:rPr>
            <w:noProof/>
            <w:webHidden/>
          </w:rPr>
          <w:instrText xml:space="preserve"> PAGEREF _Toc504055098 \h </w:instrText>
        </w:r>
        <w:r w:rsidR="00CD47FF">
          <w:rPr>
            <w:noProof/>
            <w:webHidden/>
          </w:rPr>
        </w:r>
        <w:r w:rsidR="00CD47FF">
          <w:rPr>
            <w:noProof/>
            <w:webHidden/>
          </w:rPr>
          <w:fldChar w:fldCharType="separate"/>
        </w:r>
        <w:r w:rsidR="00ED1BAA">
          <w:rPr>
            <w:noProof/>
            <w:webHidden/>
          </w:rPr>
          <w:t>6</w:t>
        </w:r>
        <w:r w:rsidR="00CD47FF">
          <w:rPr>
            <w:noProof/>
            <w:webHidden/>
          </w:rPr>
          <w:fldChar w:fldCharType="end"/>
        </w:r>
      </w:hyperlink>
    </w:p>
    <w:p w14:paraId="513851E2"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099" w:history="1">
        <w:r w:rsidR="00CD47FF" w:rsidRPr="001F2593">
          <w:rPr>
            <w:rStyle w:val="a8"/>
            <w:noProof/>
          </w:rPr>
          <w:t>1.2.</w:t>
        </w:r>
        <w:r w:rsidR="00CD47FF">
          <w:rPr>
            <w:rFonts w:asciiTheme="minorHAnsi" w:eastAsiaTheme="minorEastAsia" w:hAnsiTheme="minorHAnsi" w:cstheme="minorBidi"/>
            <w:noProof/>
          </w:rPr>
          <w:tab/>
        </w:r>
        <w:r w:rsidR="00CD47FF" w:rsidRPr="001F2593">
          <w:rPr>
            <w:rStyle w:val="a8"/>
            <w:noProof/>
          </w:rPr>
          <w:t>Основные выводы анализа социально-экономического развития</w:t>
        </w:r>
        <w:r w:rsidR="00CD47FF">
          <w:rPr>
            <w:noProof/>
            <w:webHidden/>
          </w:rPr>
          <w:tab/>
        </w:r>
        <w:r w:rsidR="00CD47FF">
          <w:rPr>
            <w:noProof/>
            <w:webHidden/>
          </w:rPr>
          <w:fldChar w:fldCharType="begin"/>
        </w:r>
        <w:r w:rsidR="00CD47FF">
          <w:rPr>
            <w:noProof/>
            <w:webHidden/>
          </w:rPr>
          <w:instrText xml:space="preserve"> PAGEREF _Toc504055099 \h </w:instrText>
        </w:r>
        <w:r w:rsidR="00CD47FF">
          <w:rPr>
            <w:noProof/>
            <w:webHidden/>
          </w:rPr>
        </w:r>
        <w:r w:rsidR="00CD47FF">
          <w:rPr>
            <w:noProof/>
            <w:webHidden/>
          </w:rPr>
          <w:fldChar w:fldCharType="separate"/>
        </w:r>
        <w:r w:rsidR="00ED1BAA">
          <w:rPr>
            <w:noProof/>
            <w:webHidden/>
          </w:rPr>
          <w:t>7</w:t>
        </w:r>
        <w:r w:rsidR="00CD47FF">
          <w:rPr>
            <w:noProof/>
            <w:webHidden/>
          </w:rPr>
          <w:fldChar w:fldCharType="end"/>
        </w:r>
      </w:hyperlink>
    </w:p>
    <w:p w14:paraId="78AA2D41"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00" w:history="1">
        <w:r w:rsidR="00CD47FF" w:rsidRPr="001F2593">
          <w:rPr>
            <w:rStyle w:val="a8"/>
            <w:noProof/>
          </w:rPr>
          <w:t>1.3.</w:t>
        </w:r>
        <w:r w:rsidR="00CD47FF">
          <w:rPr>
            <w:rFonts w:asciiTheme="minorHAnsi" w:eastAsiaTheme="minorEastAsia" w:hAnsiTheme="minorHAnsi" w:cstheme="minorBidi"/>
            <w:noProof/>
          </w:rPr>
          <w:tab/>
        </w:r>
        <w:r w:rsidR="00CD47FF" w:rsidRPr="001F2593">
          <w:rPr>
            <w:rStyle w:val="a8"/>
            <w:noProof/>
          </w:rPr>
          <w:t>Формирование сценариев развития района на период до 2030 года и выбор целевого сценария</w:t>
        </w:r>
        <w:r w:rsidR="00CD47FF">
          <w:rPr>
            <w:noProof/>
            <w:webHidden/>
          </w:rPr>
          <w:tab/>
        </w:r>
        <w:r w:rsidR="00CD47FF">
          <w:rPr>
            <w:noProof/>
            <w:webHidden/>
          </w:rPr>
          <w:fldChar w:fldCharType="begin"/>
        </w:r>
        <w:r w:rsidR="00CD47FF">
          <w:rPr>
            <w:noProof/>
            <w:webHidden/>
          </w:rPr>
          <w:instrText xml:space="preserve"> PAGEREF _Toc504055100 \h </w:instrText>
        </w:r>
        <w:r w:rsidR="00CD47FF">
          <w:rPr>
            <w:noProof/>
            <w:webHidden/>
          </w:rPr>
        </w:r>
        <w:r w:rsidR="00CD47FF">
          <w:rPr>
            <w:noProof/>
            <w:webHidden/>
          </w:rPr>
          <w:fldChar w:fldCharType="separate"/>
        </w:r>
        <w:r w:rsidR="00ED1BAA">
          <w:rPr>
            <w:noProof/>
            <w:webHidden/>
          </w:rPr>
          <w:t>11</w:t>
        </w:r>
        <w:r w:rsidR="00CD47FF">
          <w:rPr>
            <w:noProof/>
            <w:webHidden/>
          </w:rPr>
          <w:fldChar w:fldCharType="end"/>
        </w:r>
      </w:hyperlink>
    </w:p>
    <w:p w14:paraId="339714DE" w14:textId="77777777" w:rsidR="00CD47FF" w:rsidRDefault="00E67B48">
      <w:pPr>
        <w:pStyle w:val="11"/>
        <w:tabs>
          <w:tab w:val="left" w:pos="1200"/>
          <w:tab w:val="right" w:leader="dot" w:pos="9339"/>
        </w:tabs>
        <w:rPr>
          <w:rFonts w:asciiTheme="minorHAnsi" w:eastAsiaTheme="minorEastAsia" w:hAnsiTheme="minorHAnsi" w:cstheme="minorBidi"/>
          <w:noProof/>
        </w:rPr>
      </w:pPr>
      <w:hyperlink w:anchor="_Toc504055101" w:history="1">
        <w:r w:rsidR="00CD47FF" w:rsidRPr="001F2593">
          <w:rPr>
            <w:rStyle w:val="a8"/>
            <w:noProof/>
          </w:rPr>
          <w:t>2.</w:t>
        </w:r>
        <w:r w:rsidR="00CD47FF">
          <w:rPr>
            <w:rFonts w:asciiTheme="minorHAnsi" w:eastAsiaTheme="minorEastAsia" w:hAnsiTheme="minorHAnsi" w:cstheme="minorBidi"/>
            <w:noProof/>
          </w:rPr>
          <w:tab/>
        </w:r>
        <w:r w:rsidR="00CD47FF" w:rsidRPr="001F2593">
          <w:rPr>
            <w:rStyle w:val="a8"/>
            <w:noProof/>
          </w:rPr>
          <w:t>ДОЛГОСРОЧНЫЕ ПРИОРИТЕТНЫЕ НАПРАВЛЕНИЯ РАЗВИТИЯ РАЙОНА В РАМКАХ ВЫБРАННОГО СЦЕНАРИЯ НА ПЕРИОД ДО 2030 ГОДА</w:t>
        </w:r>
        <w:r w:rsidR="00CD47FF">
          <w:rPr>
            <w:noProof/>
            <w:webHidden/>
          </w:rPr>
          <w:tab/>
        </w:r>
        <w:r w:rsidR="00CD47FF">
          <w:rPr>
            <w:noProof/>
            <w:webHidden/>
          </w:rPr>
          <w:fldChar w:fldCharType="begin"/>
        </w:r>
        <w:r w:rsidR="00CD47FF">
          <w:rPr>
            <w:noProof/>
            <w:webHidden/>
          </w:rPr>
          <w:instrText xml:space="preserve"> PAGEREF _Toc504055101 \h </w:instrText>
        </w:r>
        <w:r w:rsidR="00CD47FF">
          <w:rPr>
            <w:noProof/>
            <w:webHidden/>
          </w:rPr>
        </w:r>
        <w:r w:rsidR="00CD47FF">
          <w:rPr>
            <w:noProof/>
            <w:webHidden/>
          </w:rPr>
          <w:fldChar w:fldCharType="separate"/>
        </w:r>
        <w:r w:rsidR="00ED1BAA">
          <w:rPr>
            <w:noProof/>
            <w:webHidden/>
          </w:rPr>
          <w:t>14</w:t>
        </w:r>
        <w:r w:rsidR="00CD47FF">
          <w:rPr>
            <w:noProof/>
            <w:webHidden/>
          </w:rPr>
          <w:fldChar w:fldCharType="end"/>
        </w:r>
      </w:hyperlink>
    </w:p>
    <w:p w14:paraId="46086509"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02" w:history="1">
        <w:r w:rsidR="00CD47FF" w:rsidRPr="001F2593">
          <w:rPr>
            <w:rStyle w:val="a8"/>
            <w:noProof/>
          </w:rPr>
          <w:t>2.1.</w:t>
        </w:r>
        <w:r w:rsidR="00CD47FF">
          <w:rPr>
            <w:rFonts w:asciiTheme="minorHAnsi" w:eastAsiaTheme="minorEastAsia" w:hAnsiTheme="minorHAnsi" w:cstheme="minorBidi"/>
            <w:noProof/>
          </w:rPr>
          <w:tab/>
        </w:r>
        <w:r w:rsidR="00CD47FF" w:rsidRPr="001F2593">
          <w:rPr>
            <w:rStyle w:val="a8"/>
            <w:noProof/>
          </w:rPr>
          <w:t>Миссия, стратегическая цель, задачи и приоритетные направления социально-экономического развития</w:t>
        </w:r>
        <w:r w:rsidR="00CD47FF">
          <w:rPr>
            <w:noProof/>
            <w:webHidden/>
          </w:rPr>
          <w:tab/>
        </w:r>
        <w:r w:rsidR="00CD47FF">
          <w:rPr>
            <w:noProof/>
            <w:webHidden/>
          </w:rPr>
          <w:fldChar w:fldCharType="begin"/>
        </w:r>
        <w:r w:rsidR="00CD47FF">
          <w:rPr>
            <w:noProof/>
            <w:webHidden/>
          </w:rPr>
          <w:instrText xml:space="preserve"> PAGEREF _Toc504055102 \h </w:instrText>
        </w:r>
        <w:r w:rsidR="00CD47FF">
          <w:rPr>
            <w:noProof/>
            <w:webHidden/>
          </w:rPr>
        </w:r>
        <w:r w:rsidR="00CD47FF">
          <w:rPr>
            <w:noProof/>
            <w:webHidden/>
          </w:rPr>
          <w:fldChar w:fldCharType="separate"/>
        </w:r>
        <w:r w:rsidR="00ED1BAA">
          <w:rPr>
            <w:noProof/>
            <w:webHidden/>
          </w:rPr>
          <w:t>14</w:t>
        </w:r>
        <w:r w:rsidR="00CD47FF">
          <w:rPr>
            <w:noProof/>
            <w:webHidden/>
          </w:rPr>
          <w:fldChar w:fldCharType="end"/>
        </w:r>
      </w:hyperlink>
    </w:p>
    <w:p w14:paraId="4B18E2AF"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03" w:history="1">
        <w:r w:rsidR="00CD47FF" w:rsidRPr="001F2593">
          <w:rPr>
            <w:rStyle w:val="a8"/>
            <w:noProof/>
          </w:rPr>
          <w:t>2.2.</w:t>
        </w:r>
        <w:r w:rsidR="00CD47FF">
          <w:rPr>
            <w:rFonts w:asciiTheme="minorHAnsi" w:eastAsiaTheme="minorEastAsia" w:hAnsiTheme="minorHAnsi" w:cstheme="minorBidi"/>
            <w:noProof/>
          </w:rPr>
          <w:tab/>
        </w:r>
        <w:r w:rsidR="00CD47FF" w:rsidRPr="001F2593">
          <w:rPr>
            <w:rStyle w:val="a8"/>
            <w:noProof/>
          </w:rPr>
          <w:t>Приоритеты социально-экономического развития Нефтеюганского района</w:t>
        </w:r>
        <w:r w:rsidR="00CD47FF">
          <w:rPr>
            <w:noProof/>
            <w:webHidden/>
          </w:rPr>
          <w:tab/>
        </w:r>
        <w:r w:rsidR="00CD47FF">
          <w:rPr>
            <w:noProof/>
            <w:webHidden/>
          </w:rPr>
          <w:fldChar w:fldCharType="begin"/>
        </w:r>
        <w:r w:rsidR="00CD47FF">
          <w:rPr>
            <w:noProof/>
            <w:webHidden/>
          </w:rPr>
          <w:instrText xml:space="preserve"> PAGEREF _Toc504055103 \h </w:instrText>
        </w:r>
        <w:r w:rsidR="00CD47FF">
          <w:rPr>
            <w:noProof/>
            <w:webHidden/>
          </w:rPr>
        </w:r>
        <w:r w:rsidR="00CD47FF">
          <w:rPr>
            <w:noProof/>
            <w:webHidden/>
          </w:rPr>
          <w:fldChar w:fldCharType="separate"/>
        </w:r>
        <w:r w:rsidR="00ED1BAA">
          <w:rPr>
            <w:noProof/>
            <w:webHidden/>
          </w:rPr>
          <w:t>16</w:t>
        </w:r>
        <w:r w:rsidR="00CD47FF">
          <w:rPr>
            <w:noProof/>
            <w:webHidden/>
          </w:rPr>
          <w:fldChar w:fldCharType="end"/>
        </w:r>
      </w:hyperlink>
    </w:p>
    <w:p w14:paraId="14BD3A4E" w14:textId="77777777" w:rsidR="00CD47FF" w:rsidRDefault="00E67B48">
      <w:pPr>
        <w:pStyle w:val="31"/>
        <w:tabs>
          <w:tab w:val="left" w:pos="1968"/>
          <w:tab w:val="right" w:leader="dot" w:pos="9339"/>
        </w:tabs>
        <w:rPr>
          <w:rFonts w:asciiTheme="minorHAnsi" w:eastAsiaTheme="minorEastAsia" w:hAnsiTheme="minorHAnsi" w:cstheme="minorBidi"/>
          <w:noProof/>
        </w:rPr>
      </w:pPr>
      <w:hyperlink w:anchor="_Toc504055104" w:history="1">
        <w:r w:rsidR="00CD47FF" w:rsidRPr="001F2593">
          <w:rPr>
            <w:rStyle w:val="a8"/>
            <w:noProof/>
          </w:rPr>
          <w:t>2.2.1.</w:t>
        </w:r>
        <w:r w:rsidR="00CD47FF">
          <w:rPr>
            <w:rFonts w:asciiTheme="minorHAnsi" w:eastAsiaTheme="minorEastAsia" w:hAnsiTheme="minorHAnsi" w:cstheme="minorBidi"/>
            <w:noProof/>
          </w:rPr>
          <w:tab/>
        </w:r>
        <w:r w:rsidR="00CD47FF" w:rsidRPr="001F2593">
          <w:rPr>
            <w:rStyle w:val="a8"/>
            <w:noProof/>
          </w:rPr>
          <w:t>Приоритет «</w:t>
        </w:r>
        <w:r w:rsidR="00CD47FF" w:rsidRPr="001F2593">
          <w:rPr>
            <w:rStyle w:val="a8"/>
            <w:noProof/>
            <w:shd w:val="clear" w:color="auto" w:fill="FFFFFF"/>
          </w:rPr>
          <w:t>Накопление и сохранение человеческого капитала»</w:t>
        </w:r>
        <w:r w:rsidR="00CD47FF">
          <w:rPr>
            <w:noProof/>
            <w:webHidden/>
          </w:rPr>
          <w:tab/>
        </w:r>
        <w:r w:rsidR="00CD47FF">
          <w:rPr>
            <w:noProof/>
            <w:webHidden/>
          </w:rPr>
          <w:fldChar w:fldCharType="begin"/>
        </w:r>
        <w:r w:rsidR="00CD47FF">
          <w:rPr>
            <w:noProof/>
            <w:webHidden/>
          </w:rPr>
          <w:instrText xml:space="preserve"> PAGEREF _Toc504055104 \h </w:instrText>
        </w:r>
        <w:r w:rsidR="00CD47FF">
          <w:rPr>
            <w:noProof/>
            <w:webHidden/>
          </w:rPr>
        </w:r>
        <w:r w:rsidR="00CD47FF">
          <w:rPr>
            <w:noProof/>
            <w:webHidden/>
          </w:rPr>
          <w:fldChar w:fldCharType="separate"/>
        </w:r>
        <w:r w:rsidR="00ED1BAA">
          <w:rPr>
            <w:noProof/>
            <w:webHidden/>
          </w:rPr>
          <w:t>16</w:t>
        </w:r>
        <w:r w:rsidR="00CD47FF">
          <w:rPr>
            <w:noProof/>
            <w:webHidden/>
          </w:rPr>
          <w:fldChar w:fldCharType="end"/>
        </w:r>
      </w:hyperlink>
    </w:p>
    <w:p w14:paraId="3A7276F0"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05" w:history="1">
        <w:r w:rsidR="00CD47FF" w:rsidRPr="001F2593">
          <w:rPr>
            <w:rStyle w:val="a8"/>
            <w:noProof/>
          </w:rPr>
          <w:t>2.2.1.1.</w:t>
        </w:r>
        <w:r w:rsidR="00CD47FF">
          <w:rPr>
            <w:rFonts w:asciiTheme="minorHAnsi" w:eastAsiaTheme="minorEastAsia" w:hAnsiTheme="minorHAnsi" w:cstheme="minorBidi"/>
            <w:noProof/>
          </w:rPr>
          <w:tab/>
        </w:r>
        <w:r w:rsidR="00CD47FF" w:rsidRPr="001F2593">
          <w:rPr>
            <w:rStyle w:val="a8"/>
            <w:noProof/>
          </w:rPr>
          <w:t>Направление «Доступное здравоохранение»</w:t>
        </w:r>
        <w:r w:rsidR="00CD47FF">
          <w:rPr>
            <w:noProof/>
            <w:webHidden/>
          </w:rPr>
          <w:tab/>
        </w:r>
        <w:r w:rsidR="00CD47FF">
          <w:rPr>
            <w:noProof/>
            <w:webHidden/>
          </w:rPr>
          <w:fldChar w:fldCharType="begin"/>
        </w:r>
        <w:r w:rsidR="00CD47FF">
          <w:rPr>
            <w:noProof/>
            <w:webHidden/>
          </w:rPr>
          <w:instrText xml:space="preserve"> PAGEREF _Toc504055105 \h </w:instrText>
        </w:r>
        <w:r w:rsidR="00CD47FF">
          <w:rPr>
            <w:noProof/>
            <w:webHidden/>
          </w:rPr>
        </w:r>
        <w:r w:rsidR="00CD47FF">
          <w:rPr>
            <w:noProof/>
            <w:webHidden/>
          </w:rPr>
          <w:fldChar w:fldCharType="separate"/>
        </w:r>
        <w:r w:rsidR="00ED1BAA">
          <w:rPr>
            <w:noProof/>
            <w:webHidden/>
          </w:rPr>
          <w:t>16</w:t>
        </w:r>
        <w:r w:rsidR="00CD47FF">
          <w:rPr>
            <w:noProof/>
            <w:webHidden/>
          </w:rPr>
          <w:fldChar w:fldCharType="end"/>
        </w:r>
      </w:hyperlink>
    </w:p>
    <w:p w14:paraId="54499C4B"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06" w:history="1">
        <w:r w:rsidR="00CD47FF" w:rsidRPr="001F2593">
          <w:rPr>
            <w:rStyle w:val="a8"/>
            <w:noProof/>
          </w:rPr>
          <w:t>2.2.1.2.</w:t>
        </w:r>
        <w:r w:rsidR="00CD47FF">
          <w:rPr>
            <w:rFonts w:asciiTheme="minorHAnsi" w:eastAsiaTheme="minorEastAsia" w:hAnsiTheme="minorHAnsi" w:cstheme="minorBidi"/>
            <w:noProof/>
          </w:rPr>
          <w:tab/>
        </w:r>
        <w:r w:rsidR="00CD47FF" w:rsidRPr="001F2593">
          <w:rPr>
            <w:rStyle w:val="a8"/>
            <w:noProof/>
          </w:rPr>
          <w:t>Направление «Инновационное образование»</w:t>
        </w:r>
        <w:r w:rsidR="00CD47FF">
          <w:rPr>
            <w:noProof/>
            <w:webHidden/>
          </w:rPr>
          <w:tab/>
        </w:r>
        <w:r w:rsidR="00CD47FF">
          <w:rPr>
            <w:noProof/>
            <w:webHidden/>
          </w:rPr>
          <w:fldChar w:fldCharType="begin"/>
        </w:r>
        <w:r w:rsidR="00CD47FF">
          <w:rPr>
            <w:noProof/>
            <w:webHidden/>
          </w:rPr>
          <w:instrText xml:space="preserve"> PAGEREF _Toc504055106 \h </w:instrText>
        </w:r>
        <w:r w:rsidR="00CD47FF">
          <w:rPr>
            <w:noProof/>
            <w:webHidden/>
          </w:rPr>
        </w:r>
        <w:r w:rsidR="00CD47FF">
          <w:rPr>
            <w:noProof/>
            <w:webHidden/>
          </w:rPr>
          <w:fldChar w:fldCharType="separate"/>
        </w:r>
        <w:r w:rsidR="00ED1BAA">
          <w:rPr>
            <w:noProof/>
            <w:webHidden/>
          </w:rPr>
          <w:t>18</w:t>
        </w:r>
        <w:r w:rsidR="00CD47FF">
          <w:rPr>
            <w:noProof/>
            <w:webHidden/>
          </w:rPr>
          <w:fldChar w:fldCharType="end"/>
        </w:r>
      </w:hyperlink>
    </w:p>
    <w:p w14:paraId="26FDD18C"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07" w:history="1">
        <w:r w:rsidR="00CD47FF" w:rsidRPr="001F2593">
          <w:rPr>
            <w:rStyle w:val="a8"/>
            <w:noProof/>
          </w:rPr>
          <w:t>2.2.1.3.</w:t>
        </w:r>
        <w:r w:rsidR="00CD47FF">
          <w:rPr>
            <w:rFonts w:asciiTheme="minorHAnsi" w:eastAsiaTheme="minorEastAsia" w:hAnsiTheme="minorHAnsi" w:cstheme="minorBidi"/>
            <w:noProof/>
          </w:rPr>
          <w:tab/>
        </w:r>
        <w:r w:rsidR="00CD47FF" w:rsidRPr="001F2593">
          <w:rPr>
            <w:rStyle w:val="a8"/>
            <w:noProof/>
          </w:rPr>
          <w:t>Направление «Социальная защита и занятость»</w:t>
        </w:r>
        <w:r w:rsidR="00CD47FF">
          <w:rPr>
            <w:noProof/>
            <w:webHidden/>
          </w:rPr>
          <w:tab/>
        </w:r>
        <w:r w:rsidR="00CD47FF">
          <w:rPr>
            <w:noProof/>
            <w:webHidden/>
          </w:rPr>
          <w:fldChar w:fldCharType="begin"/>
        </w:r>
        <w:r w:rsidR="00CD47FF">
          <w:rPr>
            <w:noProof/>
            <w:webHidden/>
          </w:rPr>
          <w:instrText xml:space="preserve"> PAGEREF _Toc504055107 \h </w:instrText>
        </w:r>
        <w:r w:rsidR="00CD47FF">
          <w:rPr>
            <w:noProof/>
            <w:webHidden/>
          </w:rPr>
        </w:r>
        <w:r w:rsidR="00CD47FF">
          <w:rPr>
            <w:noProof/>
            <w:webHidden/>
          </w:rPr>
          <w:fldChar w:fldCharType="separate"/>
        </w:r>
        <w:r w:rsidR="00ED1BAA">
          <w:rPr>
            <w:noProof/>
            <w:webHidden/>
          </w:rPr>
          <w:t>20</w:t>
        </w:r>
        <w:r w:rsidR="00CD47FF">
          <w:rPr>
            <w:noProof/>
            <w:webHidden/>
          </w:rPr>
          <w:fldChar w:fldCharType="end"/>
        </w:r>
      </w:hyperlink>
    </w:p>
    <w:p w14:paraId="725CBBB4"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08" w:history="1">
        <w:r w:rsidR="00CD47FF" w:rsidRPr="001F2593">
          <w:rPr>
            <w:rStyle w:val="a8"/>
            <w:noProof/>
          </w:rPr>
          <w:t>2.2.1.4.</w:t>
        </w:r>
        <w:r w:rsidR="00CD47FF">
          <w:rPr>
            <w:rFonts w:asciiTheme="minorHAnsi" w:eastAsiaTheme="minorEastAsia" w:hAnsiTheme="minorHAnsi" w:cstheme="minorBidi"/>
            <w:noProof/>
          </w:rPr>
          <w:tab/>
        </w:r>
        <w:r w:rsidR="00CD47FF" w:rsidRPr="001F2593">
          <w:rPr>
            <w:rStyle w:val="a8"/>
            <w:noProof/>
          </w:rPr>
          <w:t>Направление «Культура и спорт»</w:t>
        </w:r>
        <w:r w:rsidR="00CD47FF">
          <w:rPr>
            <w:noProof/>
            <w:webHidden/>
          </w:rPr>
          <w:tab/>
        </w:r>
        <w:r w:rsidR="00CD47FF">
          <w:rPr>
            <w:noProof/>
            <w:webHidden/>
          </w:rPr>
          <w:fldChar w:fldCharType="begin"/>
        </w:r>
        <w:r w:rsidR="00CD47FF">
          <w:rPr>
            <w:noProof/>
            <w:webHidden/>
          </w:rPr>
          <w:instrText xml:space="preserve"> PAGEREF _Toc504055108 \h </w:instrText>
        </w:r>
        <w:r w:rsidR="00CD47FF">
          <w:rPr>
            <w:noProof/>
            <w:webHidden/>
          </w:rPr>
        </w:r>
        <w:r w:rsidR="00CD47FF">
          <w:rPr>
            <w:noProof/>
            <w:webHidden/>
          </w:rPr>
          <w:fldChar w:fldCharType="separate"/>
        </w:r>
        <w:r w:rsidR="00ED1BAA">
          <w:rPr>
            <w:noProof/>
            <w:webHidden/>
          </w:rPr>
          <w:t>22</w:t>
        </w:r>
        <w:r w:rsidR="00CD47FF">
          <w:rPr>
            <w:noProof/>
            <w:webHidden/>
          </w:rPr>
          <w:fldChar w:fldCharType="end"/>
        </w:r>
      </w:hyperlink>
    </w:p>
    <w:p w14:paraId="6A99CC0B" w14:textId="77777777" w:rsidR="00CD47FF" w:rsidRDefault="00E67B48">
      <w:pPr>
        <w:pStyle w:val="31"/>
        <w:tabs>
          <w:tab w:val="left" w:pos="1968"/>
          <w:tab w:val="right" w:leader="dot" w:pos="9339"/>
        </w:tabs>
        <w:rPr>
          <w:rFonts w:asciiTheme="minorHAnsi" w:eastAsiaTheme="minorEastAsia" w:hAnsiTheme="minorHAnsi" w:cstheme="minorBidi"/>
          <w:noProof/>
        </w:rPr>
      </w:pPr>
      <w:hyperlink w:anchor="_Toc504055109" w:history="1">
        <w:r w:rsidR="00CD47FF" w:rsidRPr="001F2593">
          <w:rPr>
            <w:rStyle w:val="a8"/>
            <w:noProof/>
          </w:rPr>
          <w:t>2.2.2.</w:t>
        </w:r>
        <w:r w:rsidR="00CD47FF">
          <w:rPr>
            <w:rFonts w:asciiTheme="minorHAnsi" w:eastAsiaTheme="minorEastAsia" w:hAnsiTheme="minorHAnsi" w:cstheme="minorBidi"/>
            <w:noProof/>
          </w:rPr>
          <w:tab/>
        </w:r>
        <w:r w:rsidR="00CD47FF" w:rsidRPr="001F2593">
          <w:rPr>
            <w:rStyle w:val="a8"/>
            <w:noProof/>
          </w:rPr>
          <w:t>Приоритет «Устойчивый экономический комплекс»</w:t>
        </w:r>
        <w:r w:rsidR="00CD47FF">
          <w:rPr>
            <w:noProof/>
            <w:webHidden/>
          </w:rPr>
          <w:tab/>
        </w:r>
        <w:r w:rsidR="00CD47FF">
          <w:rPr>
            <w:noProof/>
            <w:webHidden/>
          </w:rPr>
          <w:fldChar w:fldCharType="begin"/>
        </w:r>
        <w:r w:rsidR="00CD47FF">
          <w:rPr>
            <w:noProof/>
            <w:webHidden/>
          </w:rPr>
          <w:instrText xml:space="preserve"> PAGEREF _Toc504055109 \h </w:instrText>
        </w:r>
        <w:r w:rsidR="00CD47FF">
          <w:rPr>
            <w:noProof/>
            <w:webHidden/>
          </w:rPr>
        </w:r>
        <w:r w:rsidR="00CD47FF">
          <w:rPr>
            <w:noProof/>
            <w:webHidden/>
          </w:rPr>
          <w:fldChar w:fldCharType="separate"/>
        </w:r>
        <w:r w:rsidR="00ED1BAA">
          <w:rPr>
            <w:noProof/>
            <w:webHidden/>
          </w:rPr>
          <w:t>24</w:t>
        </w:r>
        <w:r w:rsidR="00CD47FF">
          <w:rPr>
            <w:noProof/>
            <w:webHidden/>
          </w:rPr>
          <w:fldChar w:fldCharType="end"/>
        </w:r>
      </w:hyperlink>
    </w:p>
    <w:p w14:paraId="2935B251"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10" w:history="1">
        <w:r w:rsidR="00CD47FF" w:rsidRPr="001F2593">
          <w:rPr>
            <w:rStyle w:val="a8"/>
            <w:noProof/>
          </w:rPr>
          <w:t>2.2.2.1.</w:t>
        </w:r>
        <w:r w:rsidR="00CD47FF">
          <w:rPr>
            <w:rFonts w:asciiTheme="minorHAnsi" w:eastAsiaTheme="minorEastAsia" w:hAnsiTheme="minorHAnsi" w:cstheme="minorBidi"/>
            <w:noProof/>
          </w:rPr>
          <w:tab/>
        </w:r>
        <w:r w:rsidR="00CD47FF" w:rsidRPr="001F2593">
          <w:rPr>
            <w:rStyle w:val="a8"/>
            <w:noProof/>
          </w:rPr>
          <w:t>Направление «Развитие нефтегазодобычи и нефтегазопереработки»</w:t>
        </w:r>
        <w:r w:rsidR="00CD47FF">
          <w:rPr>
            <w:noProof/>
            <w:webHidden/>
          </w:rPr>
          <w:tab/>
        </w:r>
        <w:r w:rsidR="00CD47FF">
          <w:rPr>
            <w:noProof/>
            <w:webHidden/>
          </w:rPr>
          <w:fldChar w:fldCharType="begin"/>
        </w:r>
        <w:r w:rsidR="00CD47FF">
          <w:rPr>
            <w:noProof/>
            <w:webHidden/>
          </w:rPr>
          <w:instrText xml:space="preserve"> PAGEREF _Toc504055110 \h </w:instrText>
        </w:r>
        <w:r w:rsidR="00CD47FF">
          <w:rPr>
            <w:noProof/>
            <w:webHidden/>
          </w:rPr>
        </w:r>
        <w:r w:rsidR="00CD47FF">
          <w:rPr>
            <w:noProof/>
            <w:webHidden/>
          </w:rPr>
          <w:fldChar w:fldCharType="separate"/>
        </w:r>
        <w:r w:rsidR="00ED1BAA">
          <w:rPr>
            <w:noProof/>
            <w:webHidden/>
          </w:rPr>
          <w:t>24</w:t>
        </w:r>
        <w:r w:rsidR="00CD47FF">
          <w:rPr>
            <w:noProof/>
            <w:webHidden/>
          </w:rPr>
          <w:fldChar w:fldCharType="end"/>
        </w:r>
      </w:hyperlink>
    </w:p>
    <w:p w14:paraId="0C068B9F"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11" w:history="1">
        <w:r w:rsidR="00CD47FF" w:rsidRPr="001F2593">
          <w:rPr>
            <w:rStyle w:val="a8"/>
            <w:noProof/>
          </w:rPr>
          <w:t>2.2.2.2.</w:t>
        </w:r>
        <w:r w:rsidR="00CD47FF">
          <w:rPr>
            <w:rFonts w:asciiTheme="minorHAnsi" w:eastAsiaTheme="minorEastAsia" w:hAnsiTheme="minorHAnsi" w:cstheme="minorBidi"/>
            <w:noProof/>
          </w:rPr>
          <w:tab/>
        </w:r>
        <w:r w:rsidR="00CD47FF" w:rsidRPr="001F2593">
          <w:rPr>
            <w:rStyle w:val="a8"/>
            <w:noProof/>
          </w:rPr>
          <w:t>Направление «Диверсификация промышленного производства Нефтеюганского района»</w:t>
        </w:r>
        <w:r w:rsidR="00CD47FF">
          <w:rPr>
            <w:noProof/>
            <w:webHidden/>
          </w:rPr>
          <w:tab/>
        </w:r>
        <w:r w:rsidR="00CD47FF">
          <w:rPr>
            <w:noProof/>
            <w:webHidden/>
          </w:rPr>
          <w:fldChar w:fldCharType="begin"/>
        </w:r>
        <w:r w:rsidR="00CD47FF">
          <w:rPr>
            <w:noProof/>
            <w:webHidden/>
          </w:rPr>
          <w:instrText xml:space="preserve"> PAGEREF _Toc504055111 \h </w:instrText>
        </w:r>
        <w:r w:rsidR="00CD47FF">
          <w:rPr>
            <w:noProof/>
            <w:webHidden/>
          </w:rPr>
        </w:r>
        <w:r w:rsidR="00CD47FF">
          <w:rPr>
            <w:noProof/>
            <w:webHidden/>
          </w:rPr>
          <w:fldChar w:fldCharType="separate"/>
        </w:r>
        <w:r w:rsidR="00ED1BAA">
          <w:rPr>
            <w:noProof/>
            <w:webHidden/>
          </w:rPr>
          <w:t>25</w:t>
        </w:r>
        <w:r w:rsidR="00CD47FF">
          <w:rPr>
            <w:noProof/>
            <w:webHidden/>
          </w:rPr>
          <w:fldChar w:fldCharType="end"/>
        </w:r>
      </w:hyperlink>
    </w:p>
    <w:p w14:paraId="7226FD18"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12" w:history="1">
        <w:r w:rsidR="00CD47FF" w:rsidRPr="001F2593">
          <w:rPr>
            <w:rStyle w:val="a8"/>
            <w:noProof/>
          </w:rPr>
          <w:t>2.2.2.3.</w:t>
        </w:r>
        <w:r w:rsidR="00CD47FF">
          <w:rPr>
            <w:rFonts w:asciiTheme="minorHAnsi" w:eastAsiaTheme="minorEastAsia" w:hAnsiTheme="minorHAnsi" w:cstheme="minorBidi"/>
            <w:noProof/>
          </w:rPr>
          <w:tab/>
        </w:r>
        <w:r w:rsidR="00CD47FF" w:rsidRPr="001F2593">
          <w:rPr>
            <w:rStyle w:val="a8"/>
            <w:noProof/>
          </w:rPr>
          <w:t>Направление «Развитие агропромышленного комплекса»</w:t>
        </w:r>
        <w:r w:rsidR="00CD47FF">
          <w:rPr>
            <w:noProof/>
            <w:webHidden/>
          </w:rPr>
          <w:tab/>
        </w:r>
        <w:r w:rsidR="00CD47FF">
          <w:rPr>
            <w:noProof/>
            <w:webHidden/>
          </w:rPr>
          <w:fldChar w:fldCharType="begin"/>
        </w:r>
        <w:r w:rsidR="00CD47FF">
          <w:rPr>
            <w:noProof/>
            <w:webHidden/>
          </w:rPr>
          <w:instrText xml:space="preserve"> PAGEREF _Toc504055112 \h </w:instrText>
        </w:r>
        <w:r w:rsidR="00CD47FF">
          <w:rPr>
            <w:noProof/>
            <w:webHidden/>
          </w:rPr>
        </w:r>
        <w:r w:rsidR="00CD47FF">
          <w:rPr>
            <w:noProof/>
            <w:webHidden/>
          </w:rPr>
          <w:fldChar w:fldCharType="separate"/>
        </w:r>
        <w:r w:rsidR="00ED1BAA">
          <w:rPr>
            <w:noProof/>
            <w:webHidden/>
          </w:rPr>
          <w:t>27</w:t>
        </w:r>
        <w:r w:rsidR="00CD47FF">
          <w:rPr>
            <w:noProof/>
            <w:webHidden/>
          </w:rPr>
          <w:fldChar w:fldCharType="end"/>
        </w:r>
      </w:hyperlink>
    </w:p>
    <w:p w14:paraId="5CC8739C"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13" w:history="1">
        <w:r w:rsidR="00CD47FF" w:rsidRPr="001F2593">
          <w:rPr>
            <w:rStyle w:val="a8"/>
            <w:noProof/>
          </w:rPr>
          <w:t>2.2.2.4.</w:t>
        </w:r>
        <w:r w:rsidR="00CD47FF">
          <w:rPr>
            <w:rFonts w:asciiTheme="minorHAnsi" w:eastAsiaTheme="minorEastAsia" w:hAnsiTheme="minorHAnsi" w:cstheme="minorBidi"/>
            <w:noProof/>
          </w:rPr>
          <w:tab/>
        </w:r>
        <w:r w:rsidR="00CD47FF" w:rsidRPr="001F2593">
          <w:rPr>
            <w:rStyle w:val="a8"/>
            <w:noProof/>
          </w:rPr>
          <w:t>Направление «Развитие потребительского рынка и сферы услуг»</w:t>
        </w:r>
        <w:r w:rsidR="00CD47FF">
          <w:rPr>
            <w:noProof/>
            <w:webHidden/>
          </w:rPr>
          <w:tab/>
        </w:r>
        <w:r w:rsidR="00CD47FF">
          <w:rPr>
            <w:noProof/>
            <w:webHidden/>
          </w:rPr>
          <w:fldChar w:fldCharType="begin"/>
        </w:r>
        <w:r w:rsidR="00CD47FF">
          <w:rPr>
            <w:noProof/>
            <w:webHidden/>
          </w:rPr>
          <w:instrText xml:space="preserve"> PAGEREF _Toc504055113 \h </w:instrText>
        </w:r>
        <w:r w:rsidR="00CD47FF">
          <w:rPr>
            <w:noProof/>
            <w:webHidden/>
          </w:rPr>
        </w:r>
        <w:r w:rsidR="00CD47FF">
          <w:rPr>
            <w:noProof/>
            <w:webHidden/>
          </w:rPr>
          <w:fldChar w:fldCharType="separate"/>
        </w:r>
        <w:r w:rsidR="00ED1BAA">
          <w:rPr>
            <w:noProof/>
            <w:webHidden/>
          </w:rPr>
          <w:t>29</w:t>
        </w:r>
        <w:r w:rsidR="00CD47FF">
          <w:rPr>
            <w:noProof/>
            <w:webHidden/>
          </w:rPr>
          <w:fldChar w:fldCharType="end"/>
        </w:r>
      </w:hyperlink>
    </w:p>
    <w:p w14:paraId="1108051C" w14:textId="77777777" w:rsidR="00CD47FF" w:rsidRDefault="00E67B48">
      <w:pPr>
        <w:pStyle w:val="31"/>
        <w:tabs>
          <w:tab w:val="left" w:pos="1968"/>
          <w:tab w:val="right" w:leader="dot" w:pos="9339"/>
        </w:tabs>
        <w:rPr>
          <w:rFonts w:asciiTheme="minorHAnsi" w:eastAsiaTheme="minorEastAsia" w:hAnsiTheme="minorHAnsi" w:cstheme="minorBidi"/>
          <w:noProof/>
        </w:rPr>
      </w:pPr>
      <w:hyperlink w:anchor="_Toc504055114" w:history="1">
        <w:r w:rsidR="00CD47FF" w:rsidRPr="001F2593">
          <w:rPr>
            <w:rStyle w:val="a8"/>
            <w:noProof/>
          </w:rPr>
          <w:t>2.2.3.</w:t>
        </w:r>
        <w:r w:rsidR="00CD47FF">
          <w:rPr>
            <w:rFonts w:asciiTheme="minorHAnsi" w:eastAsiaTheme="minorEastAsia" w:hAnsiTheme="minorHAnsi" w:cstheme="minorBidi"/>
            <w:noProof/>
          </w:rPr>
          <w:tab/>
        </w:r>
        <w:r w:rsidR="00CD47FF" w:rsidRPr="001F2593">
          <w:rPr>
            <w:rStyle w:val="a8"/>
            <w:noProof/>
          </w:rPr>
          <w:t>Приоритет «Сбалансированное пространственное развитие»</w:t>
        </w:r>
        <w:r w:rsidR="00CD47FF">
          <w:rPr>
            <w:noProof/>
            <w:webHidden/>
          </w:rPr>
          <w:tab/>
        </w:r>
        <w:r w:rsidR="00CD47FF">
          <w:rPr>
            <w:noProof/>
            <w:webHidden/>
          </w:rPr>
          <w:fldChar w:fldCharType="begin"/>
        </w:r>
        <w:r w:rsidR="00CD47FF">
          <w:rPr>
            <w:noProof/>
            <w:webHidden/>
          </w:rPr>
          <w:instrText xml:space="preserve"> PAGEREF _Toc504055114 \h </w:instrText>
        </w:r>
        <w:r w:rsidR="00CD47FF">
          <w:rPr>
            <w:noProof/>
            <w:webHidden/>
          </w:rPr>
        </w:r>
        <w:r w:rsidR="00CD47FF">
          <w:rPr>
            <w:noProof/>
            <w:webHidden/>
          </w:rPr>
          <w:fldChar w:fldCharType="separate"/>
        </w:r>
        <w:r w:rsidR="00ED1BAA">
          <w:rPr>
            <w:noProof/>
            <w:webHidden/>
          </w:rPr>
          <w:t>30</w:t>
        </w:r>
        <w:r w:rsidR="00CD47FF">
          <w:rPr>
            <w:noProof/>
            <w:webHidden/>
          </w:rPr>
          <w:fldChar w:fldCharType="end"/>
        </w:r>
      </w:hyperlink>
    </w:p>
    <w:p w14:paraId="7BB8CA0D"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15" w:history="1">
        <w:r w:rsidR="00CD47FF" w:rsidRPr="001F2593">
          <w:rPr>
            <w:rStyle w:val="a8"/>
            <w:noProof/>
          </w:rPr>
          <w:t>2.2.3.1.</w:t>
        </w:r>
        <w:r w:rsidR="00CD47FF">
          <w:rPr>
            <w:rFonts w:asciiTheme="minorHAnsi" w:eastAsiaTheme="minorEastAsia" w:hAnsiTheme="minorHAnsi" w:cstheme="minorBidi"/>
            <w:noProof/>
          </w:rPr>
          <w:tab/>
        </w:r>
        <w:r w:rsidR="00CD47FF" w:rsidRPr="001F2593">
          <w:rPr>
            <w:rStyle w:val="a8"/>
            <w:noProof/>
          </w:rPr>
          <w:t>Направление «Повышение качества и доступности жилищно-коммунальных услуг»</w:t>
        </w:r>
        <w:r w:rsidR="00CD47FF">
          <w:rPr>
            <w:noProof/>
            <w:webHidden/>
          </w:rPr>
          <w:tab/>
        </w:r>
        <w:r w:rsidR="00CD47FF">
          <w:rPr>
            <w:noProof/>
            <w:webHidden/>
          </w:rPr>
          <w:fldChar w:fldCharType="begin"/>
        </w:r>
        <w:r w:rsidR="00CD47FF">
          <w:rPr>
            <w:noProof/>
            <w:webHidden/>
          </w:rPr>
          <w:instrText xml:space="preserve"> PAGEREF _Toc504055115 \h </w:instrText>
        </w:r>
        <w:r w:rsidR="00CD47FF">
          <w:rPr>
            <w:noProof/>
            <w:webHidden/>
          </w:rPr>
        </w:r>
        <w:r w:rsidR="00CD47FF">
          <w:rPr>
            <w:noProof/>
            <w:webHidden/>
          </w:rPr>
          <w:fldChar w:fldCharType="separate"/>
        </w:r>
        <w:r w:rsidR="00ED1BAA">
          <w:rPr>
            <w:noProof/>
            <w:webHidden/>
          </w:rPr>
          <w:t>30</w:t>
        </w:r>
        <w:r w:rsidR="00CD47FF">
          <w:rPr>
            <w:noProof/>
            <w:webHidden/>
          </w:rPr>
          <w:fldChar w:fldCharType="end"/>
        </w:r>
      </w:hyperlink>
    </w:p>
    <w:p w14:paraId="7B2C4E7A"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16" w:history="1">
        <w:r w:rsidR="00CD47FF" w:rsidRPr="001F2593">
          <w:rPr>
            <w:rStyle w:val="a8"/>
            <w:noProof/>
          </w:rPr>
          <w:t>2.2.3.2.</w:t>
        </w:r>
        <w:r w:rsidR="00CD47FF">
          <w:rPr>
            <w:rFonts w:asciiTheme="minorHAnsi" w:eastAsiaTheme="minorEastAsia" w:hAnsiTheme="minorHAnsi" w:cstheme="minorBidi"/>
            <w:noProof/>
          </w:rPr>
          <w:tab/>
        </w:r>
        <w:r w:rsidR="00CD47FF" w:rsidRPr="001F2593">
          <w:rPr>
            <w:rStyle w:val="a8"/>
            <w:noProof/>
          </w:rPr>
          <w:t>Направление «Обеспечение рационального природопользования и экологической безопасности»</w:t>
        </w:r>
        <w:r w:rsidR="00CD47FF">
          <w:rPr>
            <w:noProof/>
            <w:webHidden/>
          </w:rPr>
          <w:tab/>
        </w:r>
        <w:r w:rsidR="00CD47FF">
          <w:rPr>
            <w:noProof/>
            <w:webHidden/>
          </w:rPr>
          <w:fldChar w:fldCharType="begin"/>
        </w:r>
        <w:r w:rsidR="00CD47FF">
          <w:rPr>
            <w:noProof/>
            <w:webHidden/>
          </w:rPr>
          <w:instrText xml:space="preserve"> PAGEREF _Toc504055116 \h </w:instrText>
        </w:r>
        <w:r w:rsidR="00CD47FF">
          <w:rPr>
            <w:noProof/>
            <w:webHidden/>
          </w:rPr>
        </w:r>
        <w:r w:rsidR="00CD47FF">
          <w:rPr>
            <w:noProof/>
            <w:webHidden/>
          </w:rPr>
          <w:fldChar w:fldCharType="separate"/>
        </w:r>
        <w:r w:rsidR="00ED1BAA">
          <w:rPr>
            <w:noProof/>
            <w:webHidden/>
          </w:rPr>
          <w:t>33</w:t>
        </w:r>
        <w:r w:rsidR="00CD47FF">
          <w:rPr>
            <w:noProof/>
            <w:webHidden/>
          </w:rPr>
          <w:fldChar w:fldCharType="end"/>
        </w:r>
      </w:hyperlink>
    </w:p>
    <w:p w14:paraId="6DCBA4F7" w14:textId="77777777" w:rsidR="00CD47FF" w:rsidRDefault="00E67B48">
      <w:pPr>
        <w:pStyle w:val="41"/>
        <w:tabs>
          <w:tab w:val="left" w:pos="2388"/>
          <w:tab w:val="right" w:leader="dot" w:pos="9339"/>
        </w:tabs>
        <w:rPr>
          <w:rFonts w:asciiTheme="minorHAnsi" w:eastAsiaTheme="minorEastAsia" w:hAnsiTheme="minorHAnsi" w:cstheme="minorBidi"/>
          <w:noProof/>
        </w:rPr>
      </w:pPr>
      <w:hyperlink w:anchor="_Toc504055117" w:history="1">
        <w:r w:rsidR="00CD47FF" w:rsidRPr="001F2593">
          <w:rPr>
            <w:rStyle w:val="a8"/>
            <w:noProof/>
          </w:rPr>
          <w:t>2.2.3.3.</w:t>
        </w:r>
        <w:r w:rsidR="00CD47FF">
          <w:rPr>
            <w:rFonts w:asciiTheme="minorHAnsi" w:eastAsiaTheme="minorEastAsia" w:hAnsiTheme="minorHAnsi" w:cstheme="minorBidi"/>
            <w:noProof/>
          </w:rPr>
          <w:tab/>
        </w:r>
        <w:r w:rsidR="00CD47FF" w:rsidRPr="001F2593">
          <w:rPr>
            <w:rStyle w:val="a8"/>
            <w:noProof/>
          </w:rPr>
          <w:t>Направление «Пространственное развитие городского и сельских поселений Нефтеюганского района»</w:t>
        </w:r>
        <w:r w:rsidR="00CD47FF">
          <w:rPr>
            <w:noProof/>
            <w:webHidden/>
          </w:rPr>
          <w:tab/>
        </w:r>
        <w:r w:rsidR="00CD47FF">
          <w:rPr>
            <w:noProof/>
            <w:webHidden/>
          </w:rPr>
          <w:fldChar w:fldCharType="begin"/>
        </w:r>
        <w:r w:rsidR="00CD47FF">
          <w:rPr>
            <w:noProof/>
            <w:webHidden/>
          </w:rPr>
          <w:instrText xml:space="preserve"> PAGEREF _Toc504055117 \h </w:instrText>
        </w:r>
        <w:r w:rsidR="00CD47FF">
          <w:rPr>
            <w:noProof/>
            <w:webHidden/>
          </w:rPr>
        </w:r>
        <w:r w:rsidR="00CD47FF">
          <w:rPr>
            <w:noProof/>
            <w:webHidden/>
          </w:rPr>
          <w:fldChar w:fldCharType="separate"/>
        </w:r>
        <w:r w:rsidR="00ED1BAA">
          <w:rPr>
            <w:noProof/>
            <w:webHidden/>
          </w:rPr>
          <w:t>35</w:t>
        </w:r>
        <w:r w:rsidR="00CD47FF">
          <w:rPr>
            <w:noProof/>
            <w:webHidden/>
          </w:rPr>
          <w:fldChar w:fldCharType="end"/>
        </w:r>
      </w:hyperlink>
    </w:p>
    <w:p w14:paraId="3884814E" w14:textId="77777777" w:rsidR="00CD47FF" w:rsidRDefault="00E67B48">
      <w:pPr>
        <w:pStyle w:val="11"/>
        <w:tabs>
          <w:tab w:val="left" w:pos="1200"/>
          <w:tab w:val="right" w:leader="dot" w:pos="9339"/>
        </w:tabs>
        <w:rPr>
          <w:rFonts w:asciiTheme="minorHAnsi" w:eastAsiaTheme="minorEastAsia" w:hAnsiTheme="minorHAnsi" w:cstheme="minorBidi"/>
          <w:noProof/>
        </w:rPr>
      </w:pPr>
      <w:hyperlink w:anchor="_Toc504055118" w:history="1">
        <w:r w:rsidR="00CD47FF" w:rsidRPr="001F2593">
          <w:rPr>
            <w:rStyle w:val="a8"/>
            <w:noProof/>
          </w:rPr>
          <w:t>3.</w:t>
        </w:r>
        <w:r w:rsidR="00CD47FF">
          <w:rPr>
            <w:rFonts w:asciiTheme="minorHAnsi" w:eastAsiaTheme="minorEastAsia" w:hAnsiTheme="minorHAnsi" w:cstheme="minorBidi"/>
            <w:noProof/>
          </w:rPr>
          <w:tab/>
        </w:r>
        <w:r w:rsidR="00CD47FF" w:rsidRPr="001F2593">
          <w:rPr>
            <w:rStyle w:val="a8"/>
            <w:noProof/>
          </w:rPr>
          <w:t>СИСТЕМА УПРАВЛЕНИЯ СТРАТЕГИЕЙ И КОНТРОЛЬ ЗА ХОДОМ ЕЕ РЕАЛИЗАЦИИ</w:t>
        </w:r>
        <w:r w:rsidR="00CD47FF">
          <w:rPr>
            <w:noProof/>
            <w:webHidden/>
          </w:rPr>
          <w:tab/>
        </w:r>
        <w:r w:rsidR="00CD47FF">
          <w:rPr>
            <w:noProof/>
            <w:webHidden/>
          </w:rPr>
          <w:fldChar w:fldCharType="begin"/>
        </w:r>
        <w:r w:rsidR="00CD47FF">
          <w:rPr>
            <w:noProof/>
            <w:webHidden/>
          </w:rPr>
          <w:instrText xml:space="preserve"> PAGEREF _Toc504055118 \h </w:instrText>
        </w:r>
        <w:r w:rsidR="00CD47FF">
          <w:rPr>
            <w:noProof/>
            <w:webHidden/>
          </w:rPr>
        </w:r>
        <w:r w:rsidR="00CD47FF">
          <w:rPr>
            <w:noProof/>
            <w:webHidden/>
          </w:rPr>
          <w:fldChar w:fldCharType="separate"/>
        </w:r>
        <w:r w:rsidR="00ED1BAA">
          <w:rPr>
            <w:noProof/>
            <w:webHidden/>
          </w:rPr>
          <w:t>38</w:t>
        </w:r>
        <w:r w:rsidR="00CD47FF">
          <w:rPr>
            <w:noProof/>
            <w:webHidden/>
          </w:rPr>
          <w:fldChar w:fldCharType="end"/>
        </w:r>
      </w:hyperlink>
    </w:p>
    <w:p w14:paraId="4E6164A0"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19" w:history="1">
        <w:r w:rsidR="00CD47FF" w:rsidRPr="001F2593">
          <w:rPr>
            <w:rStyle w:val="a8"/>
            <w:noProof/>
          </w:rPr>
          <w:t>3.1.</w:t>
        </w:r>
        <w:r w:rsidR="00CD47FF">
          <w:rPr>
            <w:rFonts w:asciiTheme="minorHAnsi" w:eastAsiaTheme="minorEastAsia" w:hAnsiTheme="minorHAnsi" w:cstheme="minorBidi"/>
            <w:noProof/>
          </w:rPr>
          <w:tab/>
        </w:r>
        <w:r w:rsidR="00CD47FF" w:rsidRPr="001F2593">
          <w:rPr>
            <w:rStyle w:val="a8"/>
            <w:noProof/>
          </w:rPr>
          <w:t>Внедрение технологии бережливого производства («Бережливый регион»)</w:t>
        </w:r>
        <w:r w:rsidR="00CD47FF">
          <w:rPr>
            <w:noProof/>
            <w:webHidden/>
          </w:rPr>
          <w:tab/>
        </w:r>
        <w:r w:rsidR="00CD47FF">
          <w:rPr>
            <w:noProof/>
            <w:webHidden/>
          </w:rPr>
          <w:fldChar w:fldCharType="begin"/>
        </w:r>
        <w:r w:rsidR="00CD47FF">
          <w:rPr>
            <w:noProof/>
            <w:webHidden/>
          </w:rPr>
          <w:instrText xml:space="preserve"> PAGEREF _Toc504055119 \h </w:instrText>
        </w:r>
        <w:r w:rsidR="00CD47FF">
          <w:rPr>
            <w:noProof/>
            <w:webHidden/>
          </w:rPr>
        </w:r>
        <w:r w:rsidR="00CD47FF">
          <w:rPr>
            <w:noProof/>
            <w:webHidden/>
          </w:rPr>
          <w:fldChar w:fldCharType="separate"/>
        </w:r>
        <w:r w:rsidR="00ED1BAA">
          <w:rPr>
            <w:noProof/>
            <w:webHidden/>
          </w:rPr>
          <w:t>38</w:t>
        </w:r>
        <w:r w:rsidR="00CD47FF">
          <w:rPr>
            <w:noProof/>
            <w:webHidden/>
          </w:rPr>
          <w:fldChar w:fldCharType="end"/>
        </w:r>
      </w:hyperlink>
    </w:p>
    <w:p w14:paraId="095E3F6C"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20" w:history="1">
        <w:r w:rsidR="00CD47FF" w:rsidRPr="001F2593">
          <w:rPr>
            <w:rStyle w:val="a8"/>
            <w:noProof/>
          </w:rPr>
          <w:t>3.2.</w:t>
        </w:r>
        <w:r w:rsidR="00CD47FF">
          <w:rPr>
            <w:rFonts w:asciiTheme="minorHAnsi" w:eastAsiaTheme="minorEastAsia" w:hAnsiTheme="minorHAnsi" w:cstheme="minorBidi"/>
            <w:noProof/>
          </w:rPr>
          <w:tab/>
        </w:r>
        <w:r w:rsidR="00CD47FF" w:rsidRPr="001F2593">
          <w:rPr>
            <w:rStyle w:val="a8"/>
            <w:noProof/>
          </w:rPr>
          <w:t>Гражданское общество</w:t>
        </w:r>
        <w:r w:rsidR="00CD47FF">
          <w:rPr>
            <w:noProof/>
            <w:webHidden/>
          </w:rPr>
          <w:tab/>
        </w:r>
        <w:r w:rsidR="00CD47FF">
          <w:rPr>
            <w:noProof/>
            <w:webHidden/>
          </w:rPr>
          <w:fldChar w:fldCharType="begin"/>
        </w:r>
        <w:r w:rsidR="00CD47FF">
          <w:rPr>
            <w:noProof/>
            <w:webHidden/>
          </w:rPr>
          <w:instrText xml:space="preserve"> PAGEREF _Toc504055120 \h </w:instrText>
        </w:r>
        <w:r w:rsidR="00CD47FF">
          <w:rPr>
            <w:noProof/>
            <w:webHidden/>
          </w:rPr>
        </w:r>
        <w:r w:rsidR="00CD47FF">
          <w:rPr>
            <w:noProof/>
            <w:webHidden/>
          </w:rPr>
          <w:fldChar w:fldCharType="separate"/>
        </w:r>
        <w:r w:rsidR="00ED1BAA">
          <w:rPr>
            <w:noProof/>
            <w:webHidden/>
          </w:rPr>
          <w:t>39</w:t>
        </w:r>
        <w:r w:rsidR="00CD47FF">
          <w:rPr>
            <w:noProof/>
            <w:webHidden/>
          </w:rPr>
          <w:fldChar w:fldCharType="end"/>
        </w:r>
      </w:hyperlink>
    </w:p>
    <w:p w14:paraId="7FB3B7EB"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21" w:history="1">
        <w:r w:rsidR="00CD47FF" w:rsidRPr="001F2593">
          <w:rPr>
            <w:rStyle w:val="a8"/>
            <w:noProof/>
          </w:rPr>
          <w:t>3.3.</w:t>
        </w:r>
        <w:r w:rsidR="00CD47FF">
          <w:rPr>
            <w:rFonts w:asciiTheme="minorHAnsi" w:eastAsiaTheme="minorEastAsia" w:hAnsiTheme="minorHAnsi" w:cstheme="minorBidi"/>
            <w:noProof/>
          </w:rPr>
          <w:tab/>
        </w:r>
        <w:r w:rsidR="00CD47FF" w:rsidRPr="001F2593">
          <w:rPr>
            <w:rStyle w:val="a8"/>
            <w:noProof/>
          </w:rPr>
          <w:t>Организационные механизмы (проектное управление)</w:t>
        </w:r>
        <w:r w:rsidR="00CD47FF">
          <w:rPr>
            <w:noProof/>
            <w:webHidden/>
          </w:rPr>
          <w:tab/>
        </w:r>
        <w:r w:rsidR="00CD47FF">
          <w:rPr>
            <w:noProof/>
            <w:webHidden/>
          </w:rPr>
          <w:fldChar w:fldCharType="begin"/>
        </w:r>
        <w:r w:rsidR="00CD47FF">
          <w:rPr>
            <w:noProof/>
            <w:webHidden/>
          </w:rPr>
          <w:instrText xml:space="preserve"> PAGEREF _Toc504055121 \h </w:instrText>
        </w:r>
        <w:r w:rsidR="00CD47FF">
          <w:rPr>
            <w:noProof/>
            <w:webHidden/>
          </w:rPr>
        </w:r>
        <w:r w:rsidR="00CD47FF">
          <w:rPr>
            <w:noProof/>
            <w:webHidden/>
          </w:rPr>
          <w:fldChar w:fldCharType="separate"/>
        </w:r>
        <w:r w:rsidR="00ED1BAA">
          <w:rPr>
            <w:noProof/>
            <w:webHidden/>
          </w:rPr>
          <w:t>41</w:t>
        </w:r>
        <w:r w:rsidR="00CD47FF">
          <w:rPr>
            <w:noProof/>
            <w:webHidden/>
          </w:rPr>
          <w:fldChar w:fldCharType="end"/>
        </w:r>
      </w:hyperlink>
    </w:p>
    <w:p w14:paraId="2CA3C096"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22" w:history="1">
        <w:r w:rsidR="00CD47FF" w:rsidRPr="001F2593">
          <w:rPr>
            <w:rStyle w:val="a8"/>
            <w:noProof/>
          </w:rPr>
          <w:t>3.4.</w:t>
        </w:r>
        <w:r w:rsidR="00CD47FF">
          <w:rPr>
            <w:rFonts w:asciiTheme="minorHAnsi" w:eastAsiaTheme="minorEastAsia" w:hAnsiTheme="minorHAnsi" w:cstheme="minorBidi"/>
            <w:noProof/>
          </w:rPr>
          <w:tab/>
        </w:r>
        <w:r w:rsidR="00CD47FF" w:rsidRPr="001F2593">
          <w:rPr>
            <w:rStyle w:val="a8"/>
            <w:noProof/>
          </w:rPr>
          <w:t>Инвестиционные механизмы (инвестиционная стратегия)</w:t>
        </w:r>
        <w:r w:rsidR="00CD47FF">
          <w:rPr>
            <w:noProof/>
            <w:webHidden/>
          </w:rPr>
          <w:tab/>
        </w:r>
        <w:r w:rsidR="00CD47FF">
          <w:rPr>
            <w:noProof/>
            <w:webHidden/>
          </w:rPr>
          <w:fldChar w:fldCharType="begin"/>
        </w:r>
        <w:r w:rsidR="00CD47FF">
          <w:rPr>
            <w:noProof/>
            <w:webHidden/>
          </w:rPr>
          <w:instrText xml:space="preserve"> PAGEREF _Toc504055122 \h </w:instrText>
        </w:r>
        <w:r w:rsidR="00CD47FF">
          <w:rPr>
            <w:noProof/>
            <w:webHidden/>
          </w:rPr>
        </w:r>
        <w:r w:rsidR="00CD47FF">
          <w:rPr>
            <w:noProof/>
            <w:webHidden/>
          </w:rPr>
          <w:fldChar w:fldCharType="separate"/>
        </w:r>
        <w:r w:rsidR="00ED1BAA">
          <w:rPr>
            <w:noProof/>
            <w:webHidden/>
          </w:rPr>
          <w:t>42</w:t>
        </w:r>
        <w:r w:rsidR="00CD47FF">
          <w:rPr>
            <w:noProof/>
            <w:webHidden/>
          </w:rPr>
          <w:fldChar w:fldCharType="end"/>
        </w:r>
      </w:hyperlink>
    </w:p>
    <w:p w14:paraId="21200B0B"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23" w:history="1">
        <w:r w:rsidR="00CD47FF" w:rsidRPr="001F2593">
          <w:rPr>
            <w:rStyle w:val="a8"/>
            <w:noProof/>
          </w:rPr>
          <w:t>3.5.</w:t>
        </w:r>
        <w:r w:rsidR="00CD47FF">
          <w:rPr>
            <w:rFonts w:asciiTheme="minorHAnsi" w:eastAsiaTheme="minorEastAsia" w:hAnsiTheme="minorHAnsi" w:cstheme="minorBidi"/>
            <w:noProof/>
          </w:rPr>
          <w:tab/>
        </w:r>
        <w:r w:rsidR="00CD47FF" w:rsidRPr="001F2593">
          <w:rPr>
            <w:rStyle w:val="a8"/>
            <w:noProof/>
          </w:rPr>
          <w:t>Финансовые механизмы</w:t>
        </w:r>
        <w:r w:rsidR="00CD47FF">
          <w:rPr>
            <w:noProof/>
            <w:webHidden/>
          </w:rPr>
          <w:tab/>
        </w:r>
        <w:r w:rsidR="00CD47FF">
          <w:rPr>
            <w:noProof/>
            <w:webHidden/>
          </w:rPr>
          <w:fldChar w:fldCharType="begin"/>
        </w:r>
        <w:r w:rsidR="00CD47FF">
          <w:rPr>
            <w:noProof/>
            <w:webHidden/>
          </w:rPr>
          <w:instrText xml:space="preserve"> PAGEREF _Toc504055123 \h </w:instrText>
        </w:r>
        <w:r w:rsidR="00CD47FF">
          <w:rPr>
            <w:noProof/>
            <w:webHidden/>
          </w:rPr>
        </w:r>
        <w:r w:rsidR="00CD47FF">
          <w:rPr>
            <w:noProof/>
            <w:webHidden/>
          </w:rPr>
          <w:fldChar w:fldCharType="separate"/>
        </w:r>
        <w:r w:rsidR="00ED1BAA">
          <w:rPr>
            <w:noProof/>
            <w:webHidden/>
          </w:rPr>
          <w:t>44</w:t>
        </w:r>
        <w:r w:rsidR="00CD47FF">
          <w:rPr>
            <w:noProof/>
            <w:webHidden/>
          </w:rPr>
          <w:fldChar w:fldCharType="end"/>
        </w:r>
      </w:hyperlink>
    </w:p>
    <w:p w14:paraId="65546296" w14:textId="77777777" w:rsidR="00CD47FF" w:rsidRDefault="00E67B48">
      <w:pPr>
        <w:pStyle w:val="21"/>
        <w:tabs>
          <w:tab w:val="left" w:pos="1680"/>
          <w:tab w:val="right" w:leader="dot" w:pos="9339"/>
        </w:tabs>
        <w:rPr>
          <w:rFonts w:asciiTheme="minorHAnsi" w:eastAsiaTheme="minorEastAsia" w:hAnsiTheme="minorHAnsi" w:cstheme="minorBidi"/>
          <w:noProof/>
        </w:rPr>
      </w:pPr>
      <w:hyperlink w:anchor="_Toc504055124" w:history="1">
        <w:r w:rsidR="00CD47FF" w:rsidRPr="001F2593">
          <w:rPr>
            <w:rStyle w:val="a8"/>
            <w:noProof/>
          </w:rPr>
          <w:t>3.6.</w:t>
        </w:r>
        <w:r w:rsidR="00CD47FF">
          <w:rPr>
            <w:rFonts w:asciiTheme="minorHAnsi" w:eastAsiaTheme="minorEastAsia" w:hAnsiTheme="minorHAnsi" w:cstheme="minorBidi"/>
            <w:noProof/>
          </w:rPr>
          <w:tab/>
        </w:r>
        <w:r w:rsidR="00CD47FF" w:rsidRPr="001F2593">
          <w:rPr>
            <w:rStyle w:val="a8"/>
            <w:noProof/>
          </w:rPr>
          <w:t>Внедрение информационно-коммуникационных технологий (Информационное общество)</w:t>
        </w:r>
        <w:r w:rsidR="00CD47FF">
          <w:rPr>
            <w:noProof/>
            <w:webHidden/>
          </w:rPr>
          <w:tab/>
        </w:r>
        <w:r w:rsidR="00CD47FF">
          <w:rPr>
            <w:noProof/>
            <w:webHidden/>
          </w:rPr>
          <w:fldChar w:fldCharType="begin"/>
        </w:r>
        <w:r w:rsidR="00CD47FF">
          <w:rPr>
            <w:noProof/>
            <w:webHidden/>
          </w:rPr>
          <w:instrText xml:space="preserve"> PAGEREF _Toc504055124 \h </w:instrText>
        </w:r>
        <w:r w:rsidR="00CD47FF">
          <w:rPr>
            <w:noProof/>
            <w:webHidden/>
          </w:rPr>
        </w:r>
        <w:r w:rsidR="00CD47FF">
          <w:rPr>
            <w:noProof/>
            <w:webHidden/>
          </w:rPr>
          <w:fldChar w:fldCharType="separate"/>
        </w:r>
        <w:r w:rsidR="00ED1BAA">
          <w:rPr>
            <w:noProof/>
            <w:webHidden/>
          </w:rPr>
          <w:t>45</w:t>
        </w:r>
        <w:r w:rsidR="00CD47FF">
          <w:rPr>
            <w:noProof/>
            <w:webHidden/>
          </w:rPr>
          <w:fldChar w:fldCharType="end"/>
        </w:r>
      </w:hyperlink>
    </w:p>
    <w:p w14:paraId="7156FA2B" w14:textId="77777777" w:rsidR="00CD47FF" w:rsidRDefault="00E67B48">
      <w:pPr>
        <w:pStyle w:val="11"/>
        <w:tabs>
          <w:tab w:val="left" w:pos="1200"/>
          <w:tab w:val="right" w:leader="dot" w:pos="9339"/>
        </w:tabs>
        <w:rPr>
          <w:rFonts w:asciiTheme="minorHAnsi" w:eastAsiaTheme="minorEastAsia" w:hAnsiTheme="minorHAnsi" w:cstheme="minorBidi"/>
          <w:noProof/>
        </w:rPr>
      </w:pPr>
      <w:hyperlink w:anchor="_Toc504055125" w:history="1">
        <w:r w:rsidR="00CD47FF" w:rsidRPr="001F2593">
          <w:rPr>
            <w:rStyle w:val="a8"/>
            <w:noProof/>
          </w:rPr>
          <w:t>4.</w:t>
        </w:r>
        <w:r w:rsidR="00CD47FF">
          <w:rPr>
            <w:rFonts w:asciiTheme="minorHAnsi" w:eastAsiaTheme="minorEastAsia" w:hAnsiTheme="minorHAnsi" w:cstheme="minorBidi"/>
            <w:noProof/>
          </w:rPr>
          <w:tab/>
        </w:r>
        <w:r w:rsidR="00CD47FF" w:rsidRPr="001F2593">
          <w:rPr>
            <w:rStyle w:val="a8"/>
            <w:noProof/>
          </w:rPr>
          <w:t>ПЛАН МЕРОПРИЯТИЙ ПО РЕАЛИЗАЦИИ СТРАТЕГИИ</w:t>
        </w:r>
        <w:r w:rsidR="00CD47FF">
          <w:rPr>
            <w:noProof/>
            <w:webHidden/>
          </w:rPr>
          <w:tab/>
        </w:r>
        <w:r w:rsidR="00CD47FF">
          <w:rPr>
            <w:noProof/>
            <w:webHidden/>
          </w:rPr>
          <w:fldChar w:fldCharType="begin"/>
        </w:r>
        <w:r w:rsidR="00CD47FF">
          <w:rPr>
            <w:noProof/>
            <w:webHidden/>
          </w:rPr>
          <w:instrText xml:space="preserve"> PAGEREF _Toc504055125 \h </w:instrText>
        </w:r>
        <w:r w:rsidR="00CD47FF">
          <w:rPr>
            <w:noProof/>
            <w:webHidden/>
          </w:rPr>
        </w:r>
        <w:r w:rsidR="00CD47FF">
          <w:rPr>
            <w:noProof/>
            <w:webHidden/>
          </w:rPr>
          <w:fldChar w:fldCharType="separate"/>
        </w:r>
        <w:r w:rsidR="00ED1BAA">
          <w:rPr>
            <w:noProof/>
            <w:webHidden/>
          </w:rPr>
          <w:t>47</w:t>
        </w:r>
        <w:r w:rsidR="00CD47FF">
          <w:rPr>
            <w:noProof/>
            <w:webHidden/>
          </w:rPr>
          <w:fldChar w:fldCharType="end"/>
        </w:r>
      </w:hyperlink>
    </w:p>
    <w:p w14:paraId="30C8301E" w14:textId="77777777" w:rsidR="00CD47FF" w:rsidRDefault="00E67B48">
      <w:pPr>
        <w:pStyle w:val="11"/>
        <w:tabs>
          <w:tab w:val="left" w:pos="1200"/>
          <w:tab w:val="right" w:leader="dot" w:pos="9339"/>
        </w:tabs>
        <w:rPr>
          <w:rFonts w:asciiTheme="minorHAnsi" w:eastAsiaTheme="minorEastAsia" w:hAnsiTheme="minorHAnsi" w:cstheme="minorBidi"/>
          <w:noProof/>
        </w:rPr>
      </w:pPr>
      <w:hyperlink w:anchor="_Toc504055126" w:history="1">
        <w:r w:rsidR="00CD47FF" w:rsidRPr="001F2593">
          <w:rPr>
            <w:rStyle w:val="a8"/>
            <w:noProof/>
          </w:rPr>
          <w:t>5.</w:t>
        </w:r>
        <w:r w:rsidR="00CD47FF">
          <w:rPr>
            <w:rFonts w:asciiTheme="minorHAnsi" w:eastAsiaTheme="minorEastAsia" w:hAnsiTheme="minorHAnsi" w:cstheme="minorBidi"/>
            <w:noProof/>
          </w:rPr>
          <w:tab/>
        </w:r>
        <w:r w:rsidR="00CD47FF" w:rsidRPr="001F2593">
          <w:rPr>
            <w:rStyle w:val="a8"/>
            <w:noProof/>
          </w:rPr>
          <w:t>ОЦЕНКА ФИНАНСОВЫХ РЕСУРСОВ, НЕОБХОДИМЫХ ДЛЯ РЕАЛИЗАЦИИ СТРАТЕГИИ</w:t>
        </w:r>
        <w:r w:rsidR="00CD47FF">
          <w:rPr>
            <w:noProof/>
            <w:webHidden/>
          </w:rPr>
          <w:tab/>
        </w:r>
        <w:r w:rsidR="00CD47FF">
          <w:rPr>
            <w:noProof/>
            <w:webHidden/>
          </w:rPr>
          <w:fldChar w:fldCharType="begin"/>
        </w:r>
        <w:r w:rsidR="00CD47FF">
          <w:rPr>
            <w:noProof/>
            <w:webHidden/>
          </w:rPr>
          <w:instrText xml:space="preserve"> PAGEREF _Toc504055126 \h </w:instrText>
        </w:r>
        <w:r w:rsidR="00CD47FF">
          <w:rPr>
            <w:noProof/>
            <w:webHidden/>
          </w:rPr>
        </w:r>
        <w:r w:rsidR="00CD47FF">
          <w:rPr>
            <w:noProof/>
            <w:webHidden/>
          </w:rPr>
          <w:fldChar w:fldCharType="separate"/>
        </w:r>
        <w:r w:rsidR="00ED1BAA">
          <w:rPr>
            <w:noProof/>
            <w:webHidden/>
          </w:rPr>
          <w:t>58</w:t>
        </w:r>
        <w:r w:rsidR="00CD47FF">
          <w:rPr>
            <w:noProof/>
            <w:webHidden/>
          </w:rPr>
          <w:fldChar w:fldCharType="end"/>
        </w:r>
      </w:hyperlink>
    </w:p>
    <w:p w14:paraId="0AEAC957" w14:textId="77777777" w:rsidR="00CD47FF" w:rsidRDefault="00E67B48">
      <w:pPr>
        <w:pStyle w:val="11"/>
        <w:tabs>
          <w:tab w:val="left" w:pos="1200"/>
          <w:tab w:val="right" w:leader="dot" w:pos="9339"/>
        </w:tabs>
        <w:rPr>
          <w:rFonts w:asciiTheme="minorHAnsi" w:eastAsiaTheme="minorEastAsia" w:hAnsiTheme="minorHAnsi" w:cstheme="minorBidi"/>
          <w:noProof/>
        </w:rPr>
      </w:pPr>
      <w:hyperlink w:anchor="_Toc504055127" w:history="1">
        <w:r w:rsidR="00CD47FF" w:rsidRPr="001F2593">
          <w:rPr>
            <w:rStyle w:val="a8"/>
            <w:noProof/>
          </w:rPr>
          <w:t>6.</w:t>
        </w:r>
        <w:r w:rsidR="00CD47FF">
          <w:rPr>
            <w:rFonts w:asciiTheme="minorHAnsi" w:eastAsiaTheme="minorEastAsia" w:hAnsiTheme="minorHAnsi" w:cstheme="minorBidi"/>
            <w:noProof/>
          </w:rPr>
          <w:tab/>
        </w:r>
        <w:r w:rsidR="00CD47FF" w:rsidRPr="001F2593">
          <w:rPr>
            <w:rStyle w:val="a8"/>
            <w:noProof/>
          </w:rPr>
          <w:t>СИСТЕМА ПОКАЗАТЕЛЕЙ (ИНДИКАТОРОВ) СОЦИАЛЬНО-ЭКОНОМИЧЕСКОГО РАЗВИТИЯ ПО ВЫБРАННОМУ СЦЕНАРИЮ</w:t>
        </w:r>
        <w:r w:rsidR="00CD47FF">
          <w:rPr>
            <w:noProof/>
            <w:webHidden/>
          </w:rPr>
          <w:tab/>
        </w:r>
        <w:r w:rsidR="00CD47FF">
          <w:rPr>
            <w:noProof/>
            <w:webHidden/>
          </w:rPr>
          <w:fldChar w:fldCharType="begin"/>
        </w:r>
        <w:r w:rsidR="00CD47FF">
          <w:rPr>
            <w:noProof/>
            <w:webHidden/>
          </w:rPr>
          <w:instrText xml:space="preserve"> PAGEREF _Toc504055127 \h </w:instrText>
        </w:r>
        <w:r w:rsidR="00CD47FF">
          <w:rPr>
            <w:noProof/>
            <w:webHidden/>
          </w:rPr>
        </w:r>
        <w:r w:rsidR="00CD47FF">
          <w:rPr>
            <w:noProof/>
            <w:webHidden/>
          </w:rPr>
          <w:fldChar w:fldCharType="separate"/>
        </w:r>
        <w:r w:rsidR="00ED1BAA">
          <w:rPr>
            <w:noProof/>
            <w:webHidden/>
          </w:rPr>
          <w:t>61</w:t>
        </w:r>
        <w:r w:rsidR="00CD47FF">
          <w:rPr>
            <w:noProof/>
            <w:webHidden/>
          </w:rPr>
          <w:fldChar w:fldCharType="end"/>
        </w:r>
      </w:hyperlink>
    </w:p>
    <w:p w14:paraId="6C3ACB4C" w14:textId="77777777" w:rsidR="00CD47FF" w:rsidRDefault="00E67B48">
      <w:pPr>
        <w:pStyle w:val="11"/>
        <w:tabs>
          <w:tab w:val="right" w:leader="dot" w:pos="9339"/>
        </w:tabs>
        <w:rPr>
          <w:rFonts w:asciiTheme="minorHAnsi" w:eastAsiaTheme="minorEastAsia" w:hAnsiTheme="minorHAnsi" w:cstheme="minorBidi"/>
          <w:noProof/>
        </w:rPr>
      </w:pPr>
      <w:hyperlink w:anchor="_Toc504055128" w:history="1">
        <w:r w:rsidR="00CD47FF" w:rsidRPr="001F2593">
          <w:rPr>
            <w:rStyle w:val="a8"/>
            <w:noProof/>
          </w:rPr>
          <w:t>ПРИЛОЖЕНИЕ 1. АНАЛИЗ СОЦИАЛЬНО-ЭКОНОМИЧЕСКОГО РАЗВИТИЯ НЕФТЕЮГАНСКОГО РАЙОНА</w:t>
        </w:r>
        <w:r w:rsidR="00CD47FF">
          <w:rPr>
            <w:noProof/>
            <w:webHidden/>
          </w:rPr>
          <w:tab/>
        </w:r>
        <w:r w:rsidR="00CD47FF">
          <w:rPr>
            <w:noProof/>
            <w:webHidden/>
          </w:rPr>
          <w:fldChar w:fldCharType="begin"/>
        </w:r>
        <w:r w:rsidR="00CD47FF">
          <w:rPr>
            <w:noProof/>
            <w:webHidden/>
          </w:rPr>
          <w:instrText xml:space="preserve"> PAGEREF _Toc504055128 \h </w:instrText>
        </w:r>
        <w:r w:rsidR="00CD47FF">
          <w:rPr>
            <w:noProof/>
            <w:webHidden/>
          </w:rPr>
        </w:r>
        <w:r w:rsidR="00CD47FF">
          <w:rPr>
            <w:noProof/>
            <w:webHidden/>
          </w:rPr>
          <w:fldChar w:fldCharType="separate"/>
        </w:r>
        <w:r w:rsidR="00ED1BAA">
          <w:rPr>
            <w:noProof/>
            <w:webHidden/>
          </w:rPr>
          <w:t>67</w:t>
        </w:r>
        <w:r w:rsidR="00CD47FF">
          <w:rPr>
            <w:noProof/>
            <w:webHidden/>
          </w:rPr>
          <w:fldChar w:fldCharType="end"/>
        </w:r>
      </w:hyperlink>
    </w:p>
    <w:p w14:paraId="26960165" w14:textId="77777777" w:rsidR="00CD47FF" w:rsidRDefault="00E67B48">
      <w:pPr>
        <w:pStyle w:val="11"/>
        <w:tabs>
          <w:tab w:val="right" w:leader="dot" w:pos="9339"/>
        </w:tabs>
        <w:rPr>
          <w:rFonts w:asciiTheme="minorHAnsi" w:eastAsiaTheme="minorEastAsia" w:hAnsiTheme="minorHAnsi" w:cstheme="minorBidi"/>
          <w:noProof/>
        </w:rPr>
      </w:pPr>
      <w:hyperlink w:anchor="_Toc504055129" w:history="1">
        <w:r w:rsidR="00CD47FF" w:rsidRPr="001F2593">
          <w:rPr>
            <w:rStyle w:val="a8"/>
            <w:noProof/>
          </w:rPr>
          <w:t xml:space="preserve">ПРИЛОЖЕНИЕ 2. </w:t>
        </w:r>
        <w:r w:rsidR="00CD47FF" w:rsidRPr="001F2593">
          <w:rPr>
            <w:rStyle w:val="a8"/>
            <w:noProof/>
            <w:lang w:val="en-US"/>
          </w:rPr>
          <w:t>SWOT</w:t>
        </w:r>
        <w:r w:rsidR="00CD47FF" w:rsidRPr="001F2593">
          <w:rPr>
            <w:rStyle w:val="a8"/>
            <w:noProof/>
          </w:rPr>
          <w:t>-АНАЛИЗ СОЦИАЛЬНО-ЭКОНОМИЧЕСКОГО РАЗВИТИЯ НЕФТЕЮГАНСКОГО РАЙОНА</w:t>
        </w:r>
        <w:r w:rsidR="00CD47FF">
          <w:rPr>
            <w:noProof/>
            <w:webHidden/>
          </w:rPr>
          <w:tab/>
        </w:r>
        <w:r w:rsidR="00CD47FF">
          <w:rPr>
            <w:noProof/>
            <w:webHidden/>
          </w:rPr>
          <w:fldChar w:fldCharType="begin"/>
        </w:r>
        <w:r w:rsidR="00CD47FF">
          <w:rPr>
            <w:noProof/>
            <w:webHidden/>
          </w:rPr>
          <w:instrText xml:space="preserve"> PAGEREF _Toc504055129 \h </w:instrText>
        </w:r>
        <w:r w:rsidR="00CD47FF">
          <w:rPr>
            <w:noProof/>
            <w:webHidden/>
          </w:rPr>
        </w:r>
        <w:r w:rsidR="00CD47FF">
          <w:rPr>
            <w:noProof/>
            <w:webHidden/>
          </w:rPr>
          <w:fldChar w:fldCharType="separate"/>
        </w:r>
        <w:r w:rsidR="00ED1BAA">
          <w:rPr>
            <w:noProof/>
            <w:webHidden/>
          </w:rPr>
          <w:t>112</w:t>
        </w:r>
        <w:r w:rsidR="00CD47FF">
          <w:rPr>
            <w:noProof/>
            <w:webHidden/>
          </w:rPr>
          <w:fldChar w:fldCharType="end"/>
        </w:r>
      </w:hyperlink>
    </w:p>
    <w:p w14:paraId="449C4DBC" w14:textId="77280443" w:rsidR="00304F31" w:rsidRPr="00ED1BAA" w:rsidRDefault="00C86B49" w:rsidP="00A93D7F">
      <w:pPr>
        <w:sectPr w:rsidR="00304F31" w:rsidRPr="00ED1BAA" w:rsidSect="00D66183">
          <w:footerReference w:type="even" r:id="rId7"/>
          <w:footerReference w:type="default" r:id="rId8"/>
          <w:pgSz w:w="11900" w:h="16840"/>
          <w:pgMar w:top="1134" w:right="850" w:bottom="1134" w:left="1701" w:header="708" w:footer="708" w:gutter="0"/>
          <w:cols w:space="708"/>
          <w:titlePg/>
          <w:docGrid w:linePitch="360"/>
        </w:sectPr>
      </w:pPr>
      <w:r>
        <w:fldChar w:fldCharType="end"/>
      </w:r>
    </w:p>
    <w:p w14:paraId="061F5FF3" w14:textId="07284B1C" w:rsidR="00837C89" w:rsidRDefault="00837C89" w:rsidP="00CD47FF">
      <w:pPr>
        <w:pStyle w:val="1"/>
        <w:numPr>
          <w:ilvl w:val="0"/>
          <w:numId w:val="0"/>
        </w:numPr>
        <w:ind w:left="720"/>
      </w:pPr>
      <w:bookmarkStart w:id="1" w:name="_Toc504055096"/>
      <w:r>
        <w:lastRenderedPageBreak/>
        <w:t>ВВЕДЕНИЕ</w:t>
      </w:r>
      <w:bookmarkEnd w:id="0"/>
      <w:bookmarkEnd w:id="1"/>
    </w:p>
    <w:p w14:paraId="3CC99E2B" w14:textId="77777777" w:rsidR="002279D0" w:rsidRDefault="002279D0" w:rsidP="00A93D7F"/>
    <w:p w14:paraId="41C329BB" w14:textId="3B0E3954" w:rsidR="002279D0" w:rsidRPr="00304F31" w:rsidRDefault="00455D53" w:rsidP="00A93D7F">
      <w:r w:rsidRPr="00304F31">
        <w:t>Стратегия социально-экономического развития Нефтеюганского района дает ответы на стоящие перед районом вызовы, заключающиеся в необходимости ухода от монопрофильной специализации за счет создания новых механизмов экономической диверсификации, внедрения технологий бережливого производства в деятельность всех участников экономических отношений, развития институтов гражданского общества, реализации новой промышленной политики, национальных предпринимательской и технологической инициатив.</w:t>
      </w:r>
    </w:p>
    <w:p w14:paraId="5AF396B3" w14:textId="7264EB41" w:rsidR="002279D0" w:rsidRPr="00304F31" w:rsidRDefault="002279D0" w:rsidP="00A93D7F">
      <w:r w:rsidRPr="00304F31">
        <w:t xml:space="preserve">Актуальность разработки стратегии социально-экономического развития </w:t>
      </w:r>
      <w:r w:rsidR="00694549" w:rsidRPr="00304F31">
        <w:t>обусловлена Федеральным законом</w:t>
      </w:r>
      <w:r w:rsidRPr="00304F31">
        <w:t xml:space="preserve"> от 28.06.2014</w:t>
      </w:r>
      <w:r w:rsidR="00081BBE">
        <w:t xml:space="preserve"> г.</w:t>
      </w:r>
      <w:r w:rsidRPr="00304F31">
        <w:t xml:space="preserve"> № 172-ФЗ «О стратегическом планировании в Российской Федерации», установившего правовые основы стратегического планирования в области социально-экономического развития.</w:t>
      </w:r>
    </w:p>
    <w:p w14:paraId="4DE943BE" w14:textId="77777777" w:rsidR="002279D0" w:rsidRPr="00304F31" w:rsidRDefault="002279D0" w:rsidP="00A93D7F">
      <w:r w:rsidRPr="00304F31">
        <w:t>Стратегия социально-экономического развития муниципального образования Нефтеюганский район до 2030 года (далее по тексту – Стратегия) представляет собой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Нефтеюганский район на долгосрочный период.</w:t>
      </w:r>
    </w:p>
    <w:p w14:paraId="06ABCB35" w14:textId="3839D5B5" w:rsidR="002279D0" w:rsidRPr="00304F31" w:rsidRDefault="002279D0" w:rsidP="00A93D7F">
      <w:r w:rsidRPr="00304F31">
        <w:t>Основная цель разработки Стратегии – формирование системы долгосрочных приоритетов, целей, задач и мероприятий социально-экономического развития, выраженного в повышении качества жизни и благосостояния населения муниципального образования, динамичного развития экономики и социальной сферы территории и укрепление ее конкурентных позиций среди муниципальных образований Ханты-Мансийского автономного округа – Югры.</w:t>
      </w:r>
      <w:r w:rsidR="00940917" w:rsidRPr="00304F31">
        <w:t xml:space="preserve"> </w:t>
      </w:r>
      <w:r w:rsidRPr="00304F31">
        <w:t>Стратегия содержит:</w:t>
      </w:r>
    </w:p>
    <w:p w14:paraId="079F7617" w14:textId="365D0BA4" w:rsidR="002279D0" w:rsidRPr="00940917" w:rsidRDefault="002279D0" w:rsidP="00A93D7F">
      <w:pPr>
        <w:pStyle w:val="a0"/>
        <w:numPr>
          <w:ilvl w:val="0"/>
          <w:numId w:val="45"/>
        </w:numPr>
        <w:rPr>
          <w:rFonts w:eastAsia="Times New Roman"/>
        </w:rPr>
      </w:pPr>
      <w:r w:rsidRPr="00455D53">
        <w:t>анализ и оценку достигнутого уровня развития экономики и социальной сферы</w:t>
      </w:r>
      <w:r w:rsidRPr="00940917">
        <w:rPr>
          <w:color w:val="000000"/>
        </w:rPr>
        <w:t xml:space="preserve"> муниципального образования Нефтеюганский район;</w:t>
      </w:r>
    </w:p>
    <w:p w14:paraId="0B820EED" w14:textId="594FAF66" w:rsidR="002279D0" w:rsidRPr="002279D0" w:rsidRDefault="002279D0" w:rsidP="00A93D7F">
      <w:pPr>
        <w:pStyle w:val="a0"/>
        <w:numPr>
          <w:ilvl w:val="0"/>
          <w:numId w:val="45"/>
        </w:numPr>
      </w:pPr>
      <w:r w:rsidRPr="00455D53">
        <w:t>характеристику основных проблем социально-экономического развития, конкурентные</w:t>
      </w:r>
      <w:r w:rsidRPr="002279D0">
        <w:t xml:space="preserve"> слабости и возможности перспективного развития территории;</w:t>
      </w:r>
    </w:p>
    <w:p w14:paraId="215E07EF" w14:textId="0AED67C2" w:rsidR="002279D0" w:rsidRPr="00940917" w:rsidRDefault="002279D0" w:rsidP="00A93D7F">
      <w:pPr>
        <w:pStyle w:val="a0"/>
        <w:numPr>
          <w:ilvl w:val="0"/>
          <w:numId w:val="45"/>
        </w:numPr>
      </w:pPr>
      <w:r w:rsidRPr="00940917">
        <w:t>разработку сценариев долгосрочного развития муниципального образования Нефтеюганский район</w:t>
      </w:r>
      <w:r w:rsidR="00455D53" w:rsidRPr="00940917">
        <w:t xml:space="preserve"> и </w:t>
      </w:r>
      <w:r w:rsidRPr="00940917">
        <w:t>выбор целевого сценария долгосрочного развития района;</w:t>
      </w:r>
    </w:p>
    <w:p w14:paraId="2F6314C5" w14:textId="4F7E234E" w:rsidR="002279D0" w:rsidRPr="002279D0" w:rsidRDefault="002279D0" w:rsidP="00A93D7F">
      <w:pPr>
        <w:pStyle w:val="a0"/>
        <w:numPr>
          <w:ilvl w:val="0"/>
          <w:numId w:val="45"/>
        </w:numPr>
      </w:pPr>
      <w:r w:rsidRPr="002279D0">
        <w:t>долгосрочные приоритеты развития муниципального образования;</w:t>
      </w:r>
    </w:p>
    <w:p w14:paraId="0720A535" w14:textId="351D4F90" w:rsidR="002279D0" w:rsidRPr="002279D0" w:rsidRDefault="002279D0" w:rsidP="00A93D7F">
      <w:pPr>
        <w:pStyle w:val="a0"/>
        <w:numPr>
          <w:ilvl w:val="0"/>
          <w:numId w:val="45"/>
        </w:numPr>
      </w:pPr>
      <w:r w:rsidRPr="002279D0">
        <w:t>систему показателей социально-экономического развития района на долгосрочный период в соответствии с целевым сценарием;</w:t>
      </w:r>
    </w:p>
    <w:p w14:paraId="5F09F271" w14:textId="77777777" w:rsidR="00455D53" w:rsidRPr="00940917" w:rsidRDefault="002279D0" w:rsidP="00A93D7F">
      <w:pPr>
        <w:pStyle w:val="a0"/>
        <w:numPr>
          <w:ilvl w:val="0"/>
          <w:numId w:val="45"/>
        </w:numPr>
        <w:rPr>
          <w:rFonts w:eastAsia="Times New Roman"/>
        </w:rPr>
      </w:pPr>
      <w:r w:rsidRPr="00940917">
        <w:t>механизм</w:t>
      </w:r>
      <w:r w:rsidR="00455D53" w:rsidRPr="00940917">
        <w:t>ы</w:t>
      </w:r>
      <w:r w:rsidRPr="00940917">
        <w:t xml:space="preserve"> реализации Стратегии</w:t>
      </w:r>
      <w:r w:rsidR="00455D53" w:rsidRPr="00940917">
        <w:t>;</w:t>
      </w:r>
    </w:p>
    <w:p w14:paraId="0A6E9B5A" w14:textId="5FB833FD" w:rsidR="002279D0" w:rsidRPr="00940917" w:rsidRDefault="00455D53" w:rsidP="00A93D7F">
      <w:pPr>
        <w:pStyle w:val="a0"/>
        <w:numPr>
          <w:ilvl w:val="0"/>
          <w:numId w:val="45"/>
        </w:numPr>
        <w:rPr>
          <w:rFonts w:eastAsia="Times New Roman"/>
        </w:rPr>
      </w:pPr>
      <w:r w:rsidRPr="00940917">
        <w:t>план мероприятий по реализации Стратегии.</w:t>
      </w:r>
      <w:r w:rsidR="002279D0" w:rsidRPr="00940917">
        <w:rPr>
          <w:rFonts w:eastAsia="Times New Roman"/>
        </w:rPr>
        <w:t xml:space="preserve"> </w:t>
      </w:r>
    </w:p>
    <w:p w14:paraId="77388A07" w14:textId="77777777" w:rsidR="00455D53" w:rsidRDefault="002279D0" w:rsidP="00A93D7F">
      <w:r w:rsidRPr="002279D0">
        <w:t xml:space="preserve">Нормативно-правовой основой для разработки Стратегии послужили документы федерального, регионального и муниципального уровней, регламентирующие процессы стратегического планирования и прогнозирования муниципального развития: </w:t>
      </w:r>
    </w:p>
    <w:p w14:paraId="5AE0ECF0" w14:textId="77777777" w:rsidR="00455D53" w:rsidRDefault="002279D0" w:rsidP="00A93D7F">
      <w:pPr>
        <w:pStyle w:val="a0"/>
        <w:numPr>
          <w:ilvl w:val="0"/>
          <w:numId w:val="46"/>
        </w:numPr>
      </w:pPr>
      <w:r w:rsidRPr="002279D0">
        <w:t xml:space="preserve">Федеральный закон от 28.06.2014 </w:t>
      </w:r>
      <w:r w:rsidRPr="00940917">
        <w:rPr>
          <w:color w:val="000000"/>
        </w:rPr>
        <w:t>№</w:t>
      </w:r>
      <w:r w:rsidRPr="002279D0">
        <w:t xml:space="preserve"> 172-ФЗ «О стратегическом планировании в Российской Федерации»;</w:t>
      </w:r>
    </w:p>
    <w:p w14:paraId="7C7794B3" w14:textId="77777777" w:rsidR="00455D53" w:rsidRPr="00455D53" w:rsidRDefault="002279D0" w:rsidP="00A93D7F">
      <w:pPr>
        <w:pStyle w:val="a0"/>
        <w:numPr>
          <w:ilvl w:val="0"/>
          <w:numId w:val="46"/>
        </w:numPr>
      </w:pPr>
      <w:r w:rsidRPr="00940917">
        <w:t>Концепция долгосрочного социально-экономического развития РФ на период до 2020 года;</w:t>
      </w:r>
    </w:p>
    <w:p w14:paraId="265CF9EA" w14:textId="77777777" w:rsidR="00455D53" w:rsidRPr="00455D53" w:rsidRDefault="002279D0" w:rsidP="00A93D7F">
      <w:pPr>
        <w:pStyle w:val="a0"/>
        <w:numPr>
          <w:ilvl w:val="0"/>
          <w:numId w:val="46"/>
        </w:numPr>
      </w:pPr>
      <w:r w:rsidRPr="00940917">
        <w:t>Указ Президента РФ от 19.12.2012 № 1666 «О стратегии государственной национальной политики РФ на период до 2025 года»;</w:t>
      </w:r>
    </w:p>
    <w:p w14:paraId="02C3AFFC" w14:textId="77777777" w:rsidR="00455D53" w:rsidRPr="00455D53" w:rsidRDefault="002279D0" w:rsidP="00A93D7F">
      <w:pPr>
        <w:pStyle w:val="a0"/>
        <w:numPr>
          <w:ilvl w:val="0"/>
          <w:numId w:val="46"/>
        </w:numPr>
      </w:pPr>
      <w:r w:rsidRPr="002279D0">
        <w:t>Прогноз долгосрочного социально-экономического развития Российской Федерации на период до 2030 года</w:t>
      </w:r>
      <w:r w:rsidRPr="00940917">
        <w:rPr>
          <w:color w:val="000000"/>
        </w:rPr>
        <w:t>, утвержденные Минэкономразвития РФ;</w:t>
      </w:r>
    </w:p>
    <w:p w14:paraId="3275AF02" w14:textId="77777777" w:rsidR="00455D53" w:rsidRPr="00455D53" w:rsidRDefault="002279D0" w:rsidP="00A93D7F">
      <w:pPr>
        <w:pStyle w:val="a0"/>
        <w:numPr>
          <w:ilvl w:val="0"/>
          <w:numId w:val="46"/>
        </w:numPr>
      </w:pPr>
      <w:r w:rsidRPr="00940917">
        <w:t>Правовые акты Правительства РФ, имеющие программно-стратегический характер;</w:t>
      </w:r>
    </w:p>
    <w:p w14:paraId="54134725" w14:textId="77777777" w:rsidR="00455D53" w:rsidRPr="00455D53" w:rsidRDefault="002279D0" w:rsidP="00A93D7F">
      <w:pPr>
        <w:pStyle w:val="a0"/>
        <w:numPr>
          <w:ilvl w:val="0"/>
          <w:numId w:val="46"/>
        </w:numPr>
      </w:pPr>
      <w:r w:rsidRPr="002279D0">
        <w:t>Стратегия</w:t>
      </w:r>
      <w:r w:rsidRPr="00940917">
        <w:rPr>
          <w:color w:val="000000"/>
        </w:rPr>
        <w:t xml:space="preserve"> социально-экономического развития </w:t>
      </w:r>
      <w:r w:rsidRPr="002279D0">
        <w:t xml:space="preserve">Уральского Федерального округа до 2020 года, утвержденная Распоряжением Правительства РФ от 06.10.2011 </w:t>
      </w:r>
      <w:r w:rsidRPr="00940917">
        <w:rPr>
          <w:color w:val="000000"/>
        </w:rPr>
        <w:t>№</w:t>
      </w:r>
      <w:r w:rsidRPr="002279D0">
        <w:t xml:space="preserve"> 1757-р</w:t>
      </w:r>
      <w:r w:rsidRPr="00940917">
        <w:rPr>
          <w:color w:val="000000"/>
        </w:rPr>
        <w:t>;</w:t>
      </w:r>
    </w:p>
    <w:p w14:paraId="647CEDC7" w14:textId="77777777" w:rsidR="00455D53" w:rsidRPr="00455D53" w:rsidRDefault="002279D0" w:rsidP="00A93D7F">
      <w:pPr>
        <w:pStyle w:val="a0"/>
        <w:numPr>
          <w:ilvl w:val="0"/>
          <w:numId w:val="46"/>
        </w:numPr>
      </w:pPr>
      <w:r w:rsidRPr="002279D0">
        <w:lastRenderedPageBreak/>
        <w:t>Стратегия социально-экономического развития Ханты-Мансийского автономного округа – Югры до 2020 года и на период до 2030 года,</w:t>
      </w:r>
      <w:r w:rsidRPr="00940917">
        <w:rPr>
          <w:bCs/>
        </w:rPr>
        <w:t xml:space="preserve"> </w:t>
      </w:r>
      <w:r w:rsidRPr="00940917">
        <w:rPr>
          <w:color w:val="000000"/>
        </w:rPr>
        <w:t xml:space="preserve">утвержденная </w:t>
      </w:r>
      <w:r w:rsidRPr="00940917">
        <w:rPr>
          <w:bCs/>
        </w:rPr>
        <w:t xml:space="preserve">Распоряжением Правительства </w:t>
      </w:r>
      <w:r w:rsidRPr="002279D0">
        <w:t>Ханты-Мансийского автономного округа – Югры</w:t>
      </w:r>
      <w:r w:rsidRPr="00940917">
        <w:rPr>
          <w:bCs/>
        </w:rPr>
        <w:t xml:space="preserve"> от 22.03.2013 </w:t>
      </w:r>
      <w:r w:rsidRPr="00940917">
        <w:rPr>
          <w:color w:val="000000"/>
        </w:rPr>
        <w:t>№</w:t>
      </w:r>
      <w:r w:rsidRPr="00940917">
        <w:rPr>
          <w:bCs/>
        </w:rPr>
        <w:t xml:space="preserve"> 101-рп (в редакции от 26.09.2014);</w:t>
      </w:r>
    </w:p>
    <w:p w14:paraId="66F9FCFC" w14:textId="77777777" w:rsidR="00455D53" w:rsidRDefault="002279D0" w:rsidP="00A93D7F">
      <w:pPr>
        <w:pStyle w:val="a0"/>
        <w:numPr>
          <w:ilvl w:val="0"/>
          <w:numId w:val="46"/>
        </w:numPr>
      </w:pPr>
      <w:r w:rsidRPr="002279D0">
        <w:t>Методические рекомендации по разработке стратегий и программ социально-экономического развития муниципальных образований Ханты-Мансийского автономного округа – Югры;</w:t>
      </w:r>
    </w:p>
    <w:p w14:paraId="1F4E5F3F" w14:textId="77777777" w:rsidR="00455D53" w:rsidRDefault="002279D0" w:rsidP="00A93D7F">
      <w:pPr>
        <w:pStyle w:val="a0"/>
        <w:numPr>
          <w:ilvl w:val="0"/>
          <w:numId w:val="46"/>
        </w:numPr>
      </w:pPr>
      <w:r w:rsidRPr="002279D0">
        <w:t>Постановление Правительства Ханты-Мансийского автономного округа – Югры от 26.12.2014 № 506-п «Об утверждении схемы территориального планирования Ханты-Мансийского автономного округа – Югры»;</w:t>
      </w:r>
    </w:p>
    <w:p w14:paraId="0F893F5C" w14:textId="77777777" w:rsidR="00455D53" w:rsidRDefault="002279D0" w:rsidP="00A93D7F">
      <w:pPr>
        <w:pStyle w:val="a0"/>
        <w:numPr>
          <w:ilvl w:val="0"/>
          <w:numId w:val="46"/>
        </w:numPr>
      </w:pPr>
      <w:r w:rsidRPr="00940917">
        <w:rPr>
          <w:bCs/>
        </w:rPr>
        <w:t xml:space="preserve">Решение Думы Нефтеюганского района от 19.12.2007 № 623 (в редакции от 17.07.2014) </w:t>
      </w:r>
      <w:r w:rsidRPr="002279D0">
        <w:t>«Об утверждении схемы территориального планирования муниципального образования Нефтеюганский район»;</w:t>
      </w:r>
    </w:p>
    <w:p w14:paraId="0BD7B1B9" w14:textId="1F5054BC" w:rsidR="002279D0" w:rsidRPr="00455D53" w:rsidRDefault="002279D0" w:rsidP="00A93D7F">
      <w:pPr>
        <w:pStyle w:val="a0"/>
        <w:numPr>
          <w:ilvl w:val="0"/>
          <w:numId w:val="46"/>
        </w:numPr>
      </w:pPr>
      <w:r w:rsidRPr="00940917">
        <w:rPr>
          <w:rFonts w:eastAsia="Calibri"/>
        </w:rPr>
        <w:t>Постановление администрации Нефтеюганского района</w:t>
      </w:r>
      <w:r w:rsidRPr="00455D53">
        <w:t xml:space="preserve"> от 08.10.2014 № 2170-па-нпа «О порядке </w:t>
      </w:r>
      <w:r w:rsidRPr="00940917">
        <w:rPr>
          <w:color w:val="000000"/>
        </w:rPr>
        <w:t>разработки стратегии социально-экономического развития Нефтеюганского района</w:t>
      </w:r>
      <w:r w:rsidRPr="00455D53">
        <w:t>».</w:t>
      </w:r>
    </w:p>
    <w:p w14:paraId="6CC9C6B8" w14:textId="037C6E14" w:rsidR="002279D0" w:rsidRPr="002279D0" w:rsidRDefault="002279D0" w:rsidP="002279D0">
      <w:pPr>
        <w:pStyle w:val="ad"/>
        <w:shd w:val="clear" w:color="auto" w:fill="FFFFFF"/>
        <w:ind w:firstLine="708"/>
        <w:rPr>
          <w:sz w:val="24"/>
          <w:szCs w:val="24"/>
        </w:rPr>
      </w:pPr>
      <w:r w:rsidRPr="002279D0">
        <w:rPr>
          <w:sz w:val="24"/>
          <w:szCs w:val="24"/>
        </w:rPr>
        <w:t xml:space="preserve">Разработка Стратегии социально-экономического развития муниципального образования Нефтеюганский район основана на действующей законодательной и нормативной правовой базе федерального, окружного и </w:t>
      </w:r>
      <w:r w:rsidR="00455D53">
        <w:rPr>
          <w:sz w:val="24"/>
          <w:szCs w:val="24"/>
        </w:rPr>
        <w:t>муниципального уровней власти и</w:t>
      </w:r>
      <w:r w:rsidRPr="002279D0">
        <w:rPr>
          <w:sz w:val="24"/>
          <w:szCs w:val="24"/>
        </w:rPr>
        <w:t xml:space="preserve"> </w:t>
      </w:r>
      <w:r w:rsidR="00455D53" w:rsidRPr="002279D0">
        <w:rPr>
          <w:sz w:val="24"/>
          <w:szCs w:val="24"/>
        </w:rPr>
        <w:t xml:space="preserve">подлежит корректировке </w:t>
      </w:r>
      <w:r w:rsidRPr="002279D0">
        <w:rPr>
          <w:sz w:val="24"/>
          <w:szCs w:val="24"/>
        </w:rPr>
        <w:t>в случае изменений законодательства по стратегическому развитию муниципальных образова</w:t>
      </w:r>
      <w:r w:rsidR="00455D53">
        <w:rPr>
          <w:sz w:val="24"/>
          <w:szCs w:val="24"/>
        </w:rPr>
        <w:t>ний</w:t>
      </w:r>
      <w:r w:rsidRPr="002279D0">
        <w:rPr>
          <w:sz w:val="24"/>
          <w:szCs w:val="24"/>
        </w:rPr>
        <w:t>.</w:t>
      </w:r>
    </w:p>
    <w:p w14:paraId="7724D45B" w14:textId="77777777" w:rsidR="002279D0" w:rsidRPr="002279D0" w:rsidRDefault="002279D0" w:rsidP="00A93D7F"/>
    <w:p w14:paraId="27597CB8" w14:textId="2896B3F6" w:rsidR="00837C89" w:rsidRDefault="00837C89" w:rsidP="00A93D7F">
      <w:pPr>
        <w:pStyle w:val="1"/>
      </w:pPr>
      <w:r w:rsidRPr="0063073C">
        <w:br w:type="column"/>
      </w:r>
      <w:bookmarkStart w:id="2" w:name="_Toc503913866"/>
      <w:bookmarkStart w:id="3" w:name="_Toc504055097"/>
      <w:r w:rsidRPr="0063073C">
        <w:lastRenderedPageBreak/>
        <w:t>АНАЛИЗ И СЦЕНАРИИ СОЦИАЛЬНО-ЭКОНОМИЧЕСКОГО РАЗВИТИЯ НЕФТЕЮГАНСКОГО РАЙОНА</w:t>
      </w:r>
      <w:bookmarkEnd w:id="2"/>
      <w:bookmarkEnd w:id="3"/>
    </w:p>
    <w:p w14:paraId="7B94CEA9" w14:textId="77777777" w:rsidR="00A37860" w:rsidRPr="00A37860" w:rsidRDefault="00A37860" w:rsidP="00A93D7F"/>
    <w:p w14:paraId="422FB35D" w14:textId="5C3754C6" w:rsidR="00CB7873" w:rsidRPr="0063073C" w:rsidRDefault="00CB7873" w:rsidP="00A93D7F">
      <w:pPr>
        <w:pStyle w:val="2"/>
      </w:pPr>
      <w:bookmarkStart w:id="4" w:name="_Toc503913867"/>
      <w:bookmarkStart w:id="5" w:name="_Toc504055098"/>
      <w:r w:rsidRPr="0063073C">
        <w:t>Краткая экономико-географическая справка</w:t>
      </w:r>
      <w:bookmarkEnd w:id="4"/>
      <w:bookmarkEnd w:id="5"/>
    </w:p>
    <w:p w14:paraId="590E1817" w14:textId="77777777" w:rsidR="00CB7873" w:rsidRDefault="00CB7873" w:rsidP="00A93D7F">
      <w:pPr>
        <w:pStyle w:val="a0"/>
      </w:pPr>
    </w:p>
    <w:p w14:paraId="0357ACAB" w14:textId="77777777" w:rsidR="00CE3B3A" w:rsidRPr="00CE3B3A" w:rsidRDefault="00CE3B3A" w:rsidP="00A93D7F">
      <w:r w:rsidRPr="00CE3B3A">
        <w:t>Нефтеюганский муниципальный район расположен в центральной части Ханты-Мансийского автономного округа – Югры, граничит на северо-востоке с Сургутским районом, на юге – с Тюменской областью, на западе – с Ханты-Мансийским районом. Нефтеюганский район приравнен к районам Крайнего Севера.</w:t>
      </w:r>
    </w:p>
    <w:p w14:paraId="5587DE22" w14:textId="77777777" w:rsidR="00CE3B3A" w:rsidRDefault="00CE3B3A" w:rsidP="00A93D7F">
      <w:r w:rsidRPr="00CE3B3A">
        <w:rPr>
          <w:rStyle w:val="dropcap"/>
        </w:rPr>
        <w:t xml:space="preserve">На территории района расположены крупные города, которые административно не относятся к району и являются самостоятельными городскими округами </w:t>
      </w:r>
      <w:r w:rsidRPr="00CE3B3A">
        <w:t>–</w:t>
      </w:r>
      <w:r w:rsidRPr="00CE3B3A">
        <w:rPr>
          <w:rStyle w:val="dropcap"/>
        </w:rPr>
        <w:t xml:space="preserve"> г. Пыть-Ях и </w:t>
      </w:r>
      <w:r w:rsidRPr="00CE3B3A">
        <w:t xml:space="preserve">административный центр района </w:t>
      </w:r>
      <w:r w:rsidRPr="00CE3B3A">
        <w:rPr>
          <w:rStyle w:val="dropcap"/>
        </w:rPr>
        <w:t xml:space="preserve">г. Нефтеюганск. </w:t>
      </w:r>
      <w:r w:rsidRPr="00CE3B3A">
        <w:t>Нефтеюганский муниципальный район состоит из 8 муниципальных образований (1 городское поселение и 7 сельских поселений), в границах района расположены 11 населенных пунктов (поселок городского типа Пойковский и 10 поселков сельского типа).</w:t>
      </w:r>
    </w:p>
    <w:p w14:paraId="1C39CBDC" w14:textId="1FCB5A4E" w:rsidR="0083234C" w:rsidRDefault="0083234C" w:rsidP="00A93D7F">
      <w:r>
        <w:t>Численность населения</w:t>
      </w:r>
      <w:r w:rsidR="000C431E">
        <w:t xml:space="preserve"> района по данным на </w:t>
      </w:r>
      <w:r w:rsidR="00FB74C9" w:rsidRPr="001E3E47">
        <w:t xml:space="preserve">01.01.2017 г. </w:t>
      </w:r>
      <w:r w:rsidR="000C431E">
        <w:t>составила</w:t>
      </w:r>
      <w:r>
        <w:t xml:space="preserve"> </w:t>
      </w:r>
      <w:r w:rsidR="000C431E">
        <w:t>45 215</w:t>
      </w:r>
      <w:r w:rsidR="008C673F">
        <w:t> </w:t>
      </w:r>
      <w:r w:rsidR="000C431E">
        <w:t xml:space="preserve">человек, из них </w:t>
      </w:r>
      <w:r>
        <w:t>городское</w:t>
      </w:r>
      <w:r w:rsidR="008C673F">
        <w:t xml:space="preserve"> население составляет 26 436 человек</w:t>
      </w:r>
      <w:r>
        <w:t>, сельское</w:t>
      </w:r>
      <w:r w:rsidR="008C673F">
        <w:t xml:space="preserve"> – 18 779 человек.</w:t>
      </w:r>
      <w:r w:rsidR="008C673F" w:rsidRPr="008C673F">
        <w:t xml:space="preserve"> </w:t>
      </w:r>
      <w:r w:rsidR="008C673F">
        <w:t>Степень урбанизации Нефтеюганского района составляет 58,5%, система расселения характеризуется низкой плотностью населения, характерной для районов Крайнего севера (</w:t>
      </w:r>
      <w:r w:rsidR="008C673F" w:rsidRPr="001B70FD">
        <w:t>1,8 чел./км</w:t>
      </w:r>
      <w:r w:rsidR="008C673F" w:rsidRPr="001B70FD">
        <w:rPr>
          <w:vertAlign w:val="superscript"/>
        </w:rPr>
        <w:t>2</w:t>
      </w:r>
      <w:r w:rsidR="008C673F">
        <w:t>).</w:t>
      </w:r>
      <w:r w:rsidR="000775BE">
        <w:t xml:space="preserve"> Крупнейшими</w:t>
      </w:r>
      <w:r>
        <w:t xml:space="preserve"> по численности </w:t>
      </w:r>
      <w:r w:rsidR="000775BE">
        <w:t xml:space="preserve">населения </w:t>
      </w:r>
      <w:r>
        <w:t>поселения</w:t>
      </w:r>
      <w:r w:rsidR="000775BE">
        <w:t xml:space="preserve">ми являются гп. Пойковский </w:t>
      </w:r>
      <w:r w:rsidR="00774A96">
        <w:t>(26 436 человек), сп. Салым (7 410 человек), сп. Сингапай (3 766 человек) и сп. Куть-Ях (2 113 человек).</w:t>
      </w:r>
    </w:p>
    <w:p w14:paraId="262A3C0F" w14:textId="7E430EFF" w:rsidR="00F35681" w:rsidRPr="00CE3B3A" w:rsidRDefault="0083234C" w:rsidP="00A93D7F">
      <w:r>
        <w:t>Отличительной о</w:t>
      </w:r>
      <w:r w:rsidRPr="008031B0">
        <w:t xml:space="preserve">собенностью </w:t>
      </w:r>
      <w:r>
        <w:t>системы расселения</w:t>
      </w:r>
      <w:r w:rsidRPr="008031B0">
        <w:t xml:space="preserve"> </w:t>
      </w:r>
      <w:r>
        <w:t xml:space="preserve">Нефтеюганского района, как и других нефтедобывающих муниципальных образований </w:t>
      </w:r>
      <w:r w:rsidRPr="008031B0">
        <w:t>Ханты</w:t>
      </w:r>
      <w:r>
        <w:t>-Мансий</w:t>
      </w:r>
      <w:r w:rsidRPr="008031B0">
        <w:t>ского автономного округа – Югры</w:t>
      </w:r>
      <w:r>
        <w:t>, является</w:t>
      </w:r>
      <w:r w:rsidRPr="008031B0">
        <w:t xml:space="preserve"> очаговое размещение поселений, приуроченных к разрабатываемым месторождениям. </w:t>
      </w:r>
      <w:r>
        <w:t xml:space="preserve">При этом </w:t>
      </w:r>
      <w:r w:rsidRPr="008031B0">
        <w:t>пространственные диспропорции развития</w:t>
      </w:r>
      <w:r>
        <w:t xml:space="preserve"> проявляются на рай</w:t>
      </w:r>
      <w:r w:rsidRPr="008031B0">
        <w:t>онном уровне: основные центры размещения производительных сил приурочены к главн</w:t>
      </w:r>
      <w:r>
        <w:t>ому городскому</w:t>
      </w:r>
      <w:r w:rsidRPr="008031B0">
        <w:t xml:space="preserve"> поселени</w:t>
      </w:r>
      <w:r>
        <w:t>ю</w:t>
      </w:r>
      <w:r w:rsidRPr="008031B0">
        <w:t xml:space="preserve"> </w:t>
      </w:r>
      <w:r>
        <w:t>(г.п. Пойковский)</w:t>
      </w:r>
      <w:r w:rsidRPr="008031B0">
        <w:t xml:space="preserve">. </w:t>
      </w:r>
    </w:p>
    <w:p w14:paraId="3B8E7117" w14:textId="77777777" w:rsidR="00040E44" w:rsidRDefault="00040E44" w:rsidP="00A93D7F">
      <w:r w:rsidRPr="00CE3B3A">
        <w:t xml:space="preserve">Нефтеюганский район является один из самых небольших по площади районов Ханты-Мансийского автономного округа, общая площадь земель в административных границах Нефтеюганского района составляет 2 454,8 тыс. га. Основную часть территории занимают земли лесного фонда, переданные в управление субъекту (91,0% земельного фонда района). Предоставление земельных участков осуществляется преимущественно из земель промышленного и сельскохозяйственного назначения, земель населенных пунктов, а также при переводе земель из категории запаса в другие категории. </w:t>
      </w:r>
    </w:p>
    <w:p w14:paraId="7AF04865" w14:textId="33FB1D0B" w:rsidR="00FD7712" w:rsidRDefault="00FD7712" w:rsidP="00A93D7F">
      <w:r w:rsidRPr="00417FC0">
        <w:t xml:space="preserve">Нефтеюганский район входит в </w:t>
      </w:r>
      <w:r>
        <w:t>число лидеров (после Сургутского, Нижневартовского и</w:t>
      </w:r>
      <w:r w:rsidRPr="00417FC0">
        <w:t xml:space="preserve"> Ханты-Мансийского районов) по запасам и добыче углеводородного сырья</w:t>
      </w:r>
      <w:r>
        <w:t xml:space="preserve"> в Ханты-Мансийском автономном округе – Югре, выявленные залежи составляют 47</w:t>
      </w:r>
      <w:r w:rsidRPr="00417FC0">
        <w:t xml:space="preserve">% от общего количества залежей, открытых на территории округа. </w:t>
      </w:r>
      <w:r w:rsidR="00956844" w:rsidRPr="0055653D">
        <w:t xml:space="preserve">Помимо </w:t>
      </w:r>
      <w:r w:rsidR="00956844">
        <w:t>углеводородных</w:t>
      </w:r>
      <w:r w:rsidR="00956844" w:rsidRPr="0055653D">
        <w:t xml:space="preserve"> ресурсов на территории Нефтеюганского района располагаются торфяные месторождения</w:t>
      </w:r>
      <w:r w:rsidR="00761AD5">
        <w:t xml:space="preserve"> суммарным ресурсом </w:t>
      </w:r>
      <w:r w:rsidR="00761AD5">
        <w:rPr>
          <w:noProof/>
        </w:rPr>
        <w:t>2 007,5 млн. т (</w:t>
      </w:r>
      <w:r w:rsidR="00761AD5" w:rsidRPr="0055653D">
        <w:rPr>
          <w:noProof/>
        </w:rPr>
        <w:t>из них 275,0 млн. т составляют перспективные для разведки месторождения</w:t>
      </w:r>
      <w:r w:rsidR="00761AD5">
        <w:rPr>
          <w:noProof/>
        </w:rPr>
        <w:t>), а также месторождения общераспространенных полезных ископаемых (пески, глины).</w:t>
      </w:r>
    </w:p>
    <w:p w14:paraId="7C91BDA2" w14:textId="6CAC8F52" w:rsidR="001145EB" w:rsidRDefault="001145EB" w:rsidP="00A93D7F">
      <w:r>
        <w:t>Разрабатываемые месторождения</w:t>
      </w:r>
      <w:r w:rsidRPr="00963DFF">
        <w:t xml:space="preserve"> интегрированы в региональную транспортну</w:t>
      </w:r>
      <w:r>
        <w:t>ю инфраструктуру – п</w:t>
      </w:r>
      <w:r w:rsidRPr="00963DFF">
        <w:t xml:space="preserve">оставки нефти на экспорт и внутренний рынок осуществляются по магистральному трубопроводу Усть-Балык – Омск, </w:t>
      </w:r>
      <w:r>
        <w:t>принадлежащему АК «Транснефть»</w:t>
      </w:r>
      <w:r w:rsidRPr="00963DFF">
        <w:t>.</w:t>
      </w:r>
    </w:p>
    <w:p w14:paraId="1C948898" w14:textId="45692964" w:rsidR="00FB74C9" w:rsidRDefault="002C3750" w:rsidP="00A93D7F">
      <w:r>
        <w:t>Конкурентным</w:t>
      </w:r>
      <w:r w:rsidRPr="00CE0F1A">
        <w:t xml:space="preserve"> преимуществ</w:t>
      </w:r>
      <w:r>
        <w:t xml:space="preserve">ом </w:t>
      </w:r>
      <w:r w:rsidRPr="00CE0F1A">
        <w:t xml:space="preserve">Нефтеюганского района </w:t>
      </w:r>
      <w:r w:rsidRPr="006B4165">
        <w:t>является географическое положение и транспортная доступность: район выгодно расположен относительно крупных региональных городов – Сургута, Ханты-Мансийска и Нижневартовска</w:t>
      </w:r>
      <w:r>
        <w:t xml:space="preserve">. </w:t>
      </w:r>
      <w:r w:rsidR="00BA1C06" w:rsidRPr="001E3E47">
        <w:t>По территории Нефтеюганского муниц</w:t>
      </w:r>
      <w:r w:rsidR="00BA1C06">
        <w:t>и</w:t>
      </w:r>
      <w:r w:rsidR="00BA1C06" w:rsidRPr="001E3E47">
        <w:t>пального района также проходят 2</w:t>
      </w:r>
      <w:r w:rsidR="00BA1C06">
        <w:t> </w:t>
      </w:r>
      <w:r w:rsidR="00BA1C06" w:rsidRPr="001E3E47">
        <w:t xml:space="preserve">общероссийских </w:t>
      </w:r>
      <w:r w:rsidR="00BA1C06">
        <w:lastRenderedPageBreak/>
        <w:t xml:space="preserve">транспортных </w:t>
      </w:r>
      <w:r w:rsidR="00BA1C06" w:rsidRPr="001E3E47">
        <w:t xml:space="preserve">коридора: 17 меридиальный коридор «Тюмень – Сургут – Новый Уренгой – Надым – Салехард» и 13 широтный коридор «Пермь – Серов – Ханты-Мансийск – Нефтеюганск – Сургут – Нефтеюганск – Томск». </w:t>
      </w:r>
      <w:r w:rsidR="00FB74C9" w:rsidRPr="001E3E47">
        <w:t>Общая протяженность автомобильных дорог общего пользования в Нефтеюганском районе по состоянию на 01.01.2017 г. составила 560,1 км</w:t>
      </w:r>
      <w:r w:rsidR="00FB74C9">
        <w:t>.</w:t>
      </w:r>
    </w:p>
    <w:p w14:paraId="34964EB4" w14:textId="05561680" w:rsidR="00E7561B" w:rsidRDefault="00E7561B" w:rsidP="00A93D7F">
      <w:r>
        <w:t>П</w:t>
      </w:r>
      <w:r w:rsidRPr="007177B1">
        <w:t xml:space="preserve">о уровню развития наземной транспортной сети Нефтеюганский район </w:t>
      </w:r>
      <w:r>
        <w:t xml:space="preserve">значительно </w:t>
      </w:r>
      <w:r w:rsidRPr="0036267A">
        <w:t>опережает средние показатели по Ханты-Мансийскому АО: по состоянию на 2016 г. плотность автомобильных дорог общего пользования с твердым покрытием на 1 000 кв. м территории муниципального района составила 22,5 км (в среднем по ХМАО – 10,8 км, по России – 62 км). Транспортная система Нефтеюганского района также характеризуется высокой долей автомобильных дорог общего пользования с твердым покрытием: в 2016 г. их удельный вес в общей протяженности автомобильных дорог общего пользования составил 98,8% (в среднем по ХМАО – 83,7 км, по России – 70,3 км).</w:t>
      </w:r>
    </w:p>
    <w:p w14:paraId="64F5CB18" w14:textId="767CF44A" w:rsidR="00B20A2F" w:rsidRDefault="00BD0BFF" w:rsidP="00A93D7F">
      <w:r w:rsidRPr="00FB6AAC">
        <w:t xml:space="preserve">Через населенные пункты </w:t>
      </w:r>
      <w:r w:rsidR="002D1ADB">
        <w:t>Салым, Куть-Ях, Усть-Юган и</w:t>
      </w:r>
      <w:r w:rsidRPr="00FB6AAC">
        <w:t xml:space="preserve"> Юганская Обь проходят железнодорожные пути Свердловской железной дороги ОАО «Российские железные дороги» протяженностью 186 км. Ж</w:t>
      </w:r>
      <w:r>
        <w:t>елезнодорожная магистраль</w:t>
      </w:r>
      <w:r w:rsidRPr="00FB6AAC">
        <w:t xml:space="preserve"> </w:t>
      </w:r>
      <w:r>
        <w:t>обеспечивает транспортно-экономическую связь Ханты-Мансийского автономного</w:t>
      </w:r>
      <w:r w:rsidRPr="00FB6AAC">
        <w:t xml:space="preserve"> округ</w:t>
      </w:r>
      <w:r>
        <w:t>а с Ямало-Ненецким автономным</w:t>
      </w:r>
      <w:r w:rsidRPr="00FB6AAC">
        <w:t xml:space="preserve"> округ</w:t>
      </w:r>
      <w:r>
        <w:t>ом и</w:t>
      </w:r>
      <w:r w:rsidRPr="00FB6AAC">
        <w:t xml:space="preserve"> с </w:t>
      </w:r>
      <w:r>
        <w:t>югом Тюменской области</w:t>
      </w:r>
      <w:r w:rsidRPr="00FB6AAC">
        <w:t>.</w:t>
      </w:r>
    </w:p>
    <w:p w14:paraId="7729EA40" w14:textId="6BF24899" w:rsidR="00837AAD" w:rsidRDefault="001145EB" w:rsidP="00A93D7F">
      <w:r>
        <w:rPr>
          <w:rFonts w:eastAsia="Calibri"/>
        </w:rPr>
        <w:t>П</w:t>
      </w:r>
      <w:r>
        <w:t>ередвижение</w:t>
      </w:r>
      <w:r w:rsidR="00837AAD" w:rsidRPr="00FB6AAC">
        <w:t xml:space="preserve"> </w:t>
      </w:r>
      <w:r>
        <w:t>пассажиров и транспортировка</w:t>
      </w:r>
      <w:r w:rsidR="00837AAD" w:rsidRPr="00FB6AAC">
        <w:t xml:space="preserve"> грузов между населенными пунктами</w:t>
      </w:r>
      <w:r>
        <w:t xml:space="preserve"> района</w:t>
      </w:r>
      <w:r w:rsidR="00837AAD" w:rsidRPr="00FB6AAC">
        <w:t xml:space="preserve"> </w:t>
      </w:r>
      <w:r>
        <w:t>также</w:t>
      </w:r>
      <w:r w:rsidR="00837AAD" w:rsidRPr="00FB6AAC">
        <w:t xml:space="preserve"> являются речной </w:t>
      </w:r>
      <w:r>
        <w:t>и</w:t>
      </w:r>
      <w:r w:rsidR="00837AAD" w:rsidRPr="00FB6AAC">
        <w:t xml:space="preserve"> вертолетный транспорт</w:t>
      </w:r>
      <w:r>
        <w:t>.</w:t>
      </w:r>
    </w:p>
    <w:p w14:paraId="0E1463AF" w14:textId="720C6B2A" w:rsidR="00CE3B3A" w:rsidRPr="00CE3B3A" w:rsidRDefault="0060638A" w:rsidP="00A93D7F">
      <w:r>
        <w:tab/>
      </w:r>
    </w:p>
    <w:p w14:paraId="2A56BA57" w14:textId="798FBCE7" w:rsidR="00CB7873" w:rsidRDefault="00CB7873" w:rsidP="00A93D7F">
      <w:pPr>
        <w:pStyle w:val="2"/>
      </w:pPr>
      <w:bookmarkStart w:id="6" w:name="_Toc503913868"/>
      <w:bookmarkStart w:id="7" w:name="_Toc504055099"/>
      <w:r>
        <w:t>Основные выводы анализа социально-экономического развития</w:t>
      </w:r>
      <w:bookmarkEnd w:id="6"/>
      <w:bookmarkEnd w:id="7"/>
    </w:p>
    <w:p w14:paraId="33453ED3" w14:textId="77777777" w:rsidR="00D20273" w:rsidRDefault="00D20273" w:rsidP="00A93D7F">
      <w:pPr>
        <w:pStyle w:val="a0"/>
      </w:pPr>
    </w:p>
    <w:p w14:paraId="068AFAB9" w14:textId="15220C4D" w:rsidR="007735E8" w:rsidRDefault="007735E8" w:rsidP="00A93D7F">
      <w:r w:rsidRPr="003F4BA2">
        <w:t xml:space="preserve">Объем отгруженных товаров собственного производства, выполненных работ и услуг </w:t>
      </w:r>
      <w:r>
        <w:t>всеми секторами экономики района</w:t>
      </w:r>
      <w:r w:rsidRPr="003F4BA2">
        <w:t xml:space="preserve"> за 2016 </w:t>
      </w:r>
      <w:r>
        <w:t>г.</w:t>
      </w:r>
      <w:r w:rsidRPr="003F4BA2">
        <w:t xml:space="preserve"> составил 262 008,3</w:t>
      </w:r>
      <w:r>
        <w:t xml:space="preserve"> </w:t>
      </w:r>
      <w:r w:rsidRPr="003F4BA2">
        <w:t>млн.</w:t>
      </w:r>
      <w:r>
        <w:t xml:space="preserve"> руб.</w:t>
      </w:r>
      <w:r w:rsidRPr="003F4BA2">
        <w:t xml:space="preserve"> (превышение планового </w:t>
      </w:r>
      <w:r>
        <w:t>показателя 2016 г. на 21,7%)</w:t>
      </w:r>
      <w:r w:rsidRPr="003F4BA2">
        <w:t>, что</w:t>
      </w:r>
      <w:r>
        <w:t xml:space="preserve"> </w:t>
      </w:r>
      <w:r w:rsidRPr="003F4BA2">
        <w:t>связано с ростом промышленного производства.</w:t>
      </w:r>
      <w:r>
        <w:t xml:space="preserve"> Н</w:t>
      </w:r>
      <w:r w:rsidRPr="006E32A4">
        <w:t xml:space="preserve">а долю </w:t>
      </w:r>
      <w:r>
        <w:t>промышленного производства</w:t>
      </w:r>
      <w:r w:rsidRPr="006E32A4">
        <w:t xml:space="preserve"> </w:t>
      </w:r>
      <w:r>
        <w:t>в</w:t>
      </w:r>
      <w:r w:rsidRPr="006E32A4">
        <w:t xml:space="preserve"> 2016 </w:t>
      </w:r>
      <w:r>
        <w:t>г.</w:t>
      </w:r>
      <w:r w:rsidRPr="006E32A4">
        <w:t xml:space="preserve"> при</w:t>
      </w:r>
      <w:r>
        <w:t>шлось</w:t>
      </w:r>
      <w:r w:rsidRPr="006E32A4">
        <w:t xml:space="preserve"> </w:t>
      </w:r>
      <w:r w:rsidR="00F563A5">
        <w:t xml:space="preserve">249 854,83 млн. руб. или </w:t>
      </w:r>
      <w:r>
        <w:t>94</w:t>
      </w:r>
      <w:r w:rsidRPr="006E32A4">
        <w:t xml:space="preserve">% от объема </w:t>
      </w:r>
      <w:r w:rsidR="00F563A5">
        <w:t>суммарного объема отгрузки районных предприятий.</w:t>
      </w:r>
    </w:p>
    <w:p w14:paraId="1CA180E4" w14:textId="77777777" w:rsidR="005621A0" w:rsidRDefault="004149A4" w:rsidP="00A93D7F">
      <w:r>
        <w:t>Промышленность Нефтеюганского района характеризуется в</w:t>
      </w:r>
      <w:r w:rsidRPr="007B5202">
        <w:t>ысок</w:t>
      </w:r>
      <w:r>
        <w:t>ой</w:t>
      </w:r>
      <w:r w:rsidRPr="007B5202">
        <w:t xml:space="preserve"> </w:t>
      </w:r>
      <w:r>
        <w:t xml:space="preserve">степенью </w:t>
      </w:r>
      <w:r w:rsidRPr="007B5202">
        <w:t>концентраци</w:t>
      </w:r>
      <w:r>
        <w:t>и</w:t>
      </w:r>
      <w:r w:rsidRPr="007B5202">
        <w:t xml:space="preserve"> производства </w:t>
      </w:r>
      <w:r>
        <w:t xml:space="preserve">и инвестиционной активности </w:t>
      </w:r>
      <w:r w:rsidRPr="007B5202">
        <w:t xml:space="preserve">в добывающем (нефтегазовом) секторе или </w:t>
      </w:r>
      <w:r>
        <w:t xml:space="preserve">отраслях, обслуживающих нефтедобывающие предприятия (машиностроительная отрасль, логистика). По итогам </w:t>
      </w:r>
      <w:r w:rsidR="005135C2">
        <w:t xml:space="preserve">2016 г. на </w:t>
      </w:r>
      <w:r w:rsidR="004A4991">
        <w:t>нефте</w:t>
      </w:r>
      <w:r w:rsidR="005135C2">
        <w:t xml:space="preserve">добычу пришлось </w:t>
      </w:r>
      <w:r w:rsidR="005135C2" w:rsidRPr="006E32A4">
        <w:t xml:space="preserve">98,1% общего объёма отгрузки </w:t>
      </w:r>
      <w:r w:rsidR="005135C2">
        <w:t xml:space="preserve">крупных и средних </w:t>
      </w:r>
      <w:r w:rsidR="005135C2" w:rsidRPr="006E32A4">
        <w:t>промышленных предприятий</w:t>
      </w:r>
      <w:r>
        <w:t xml:space="preserve"> района, абсолютный </w:t>
      </w:r>
      <w:r w:rsidR="005135C2" w:rsidRPr="006E32A4">
        <w:t>объём отгруженных товаров, выполненных работ и услуг собственными силами по виду деяте</w:t>
      </w:r>
      <w:r w:rsidR="001C13FA">
        <w:t>льности «Добывающие производства</w:t>
      </w:r>
      <w:r w:rsidR="005135C2" w:rsidRPr="006E32A4">
        <w:t xml:space="preserve">» составил 245 557,6 млн. </w:t>
      </w:r>
      <w:r w:rsidR="005135C2">
        <w:t>руб.</w:t>
      </w:r>
      <w:r w:rsidR="00385AFE">
        <w:t xml:space="preserve"> </w:t>
      </w:r>
    </w:p>
    <w:p w14:paraId="06064ACC" w14:textId="79203FCF" w:rsidR="004974E3" w:rsidRPr="005621A0" w:rsidRDefault="00385AFE" w:rsidP="00A93D7F">
      <w:pPr>
        <w:rPr>
          <w:rFonts w:eastAsia="Times New Roman"/>
        </w:rPr>
      </w:pPr>
      <w:r>
        <w:rPr>
          <w:rFonts w:eastAsia="Times New Roman"/>
        </w:rPr>
        <w:t xml:space="preserve">За рассматриваемый период произошло </w:t>
      </w:r>
      <w:r w:rsidRPr="006E32A4">
        <w:rPr>
          <w:rFonts w:eastAsia="Times New Roman"/>
        </w:rPr>
        <w:t xml:space="preserve">увеличение доли </w:t>
      </w:r>
      <w:r>
        <w:t>добывающего производства</w:t>
      </w:r>
      <w:r w:rsidRPr="006E32A4">
        <w:t xml:space="preserve"> в структуре отгрузки </w:t>
      </w:r>
      <w:r>
        <w:t>промышленных предприятий района (за счёт постепенного роста отгрузки) и снижение в</w:t>
      </w:r>
      <w:r w:rsidRPr="006E32A4">
        <w:rPr>
          <w:rFonts w:eastAsia="Times New Roman"/>
        </w:rPr>
        <w:t>клад</w:t>
      </w:r>
      <w:r>
        <w:rPr>
          <w:rFonts w:eastAsia="Times New Roman"/>
        </w:rPr>
        <w:t>а</w:t>
      </w:r>
      <w:r w:rsidRPr="006E32A4">
        <w:rPr>
          <w:rFonts w:eastAsia="Times New Roman"/>
        </w:rPr>
        <w:t xml:space="preserve"> </w:t>
      </w:r>
      <w:r>
        <w:rPr>
          <w:rFonts w:eastAsia="Times New Roman"/>
        </w:rPr>
        <w:t>обрабатывающих</w:t>
      </w:r>
      <w:r w:rsidRPr="006E32A4">
        <w:rPr>
          <w:rFonts w:eastAsia="Times New Roman"/>
        </w:rPr>
        <w:t xml:space="preserve"> производств</w:t>
      </w:r>
      <w:r>
        <w:rPr>
          <w:rFonts w:eastAsia="Times New Roman"/>
        </w:rPr>
        <w:t xml:space="preserve"> (отгрузка, напротив, </w:t>
      </w:r>
      <w:r w:rsidR="00546B66">
        <w:rPr>
          <w:rFonts w:eastAsia="Times New Roman"/>
        </w:rPr>
        <w:t>сокращается последние три года).</w:t>
      </w:r>
      <w:r w:rsidR="005621A0">
        <w:rPr>
          <w:rFonts w:eastAsia="Times New Roman"/>
        </w:rPr>
        <w:t xml:space="preserve"> </w:t>
      </w:r>
      <w:r w:rsidR="005621A0">
        <w:t>О</w:t>
      </w:r>
      <w:r w:rsidR="004974E3">
        <w:t>трасль нефтедобычи характеризуется</w:t>
      </w:r>
      <w:r w:rsidR="005621A0">
        <w:t xml:space="preserve"> относительно</w:t>
      </w:r>
      <w:r w:rsidR="004974E3">
        <w:t xml:space="preserve"> низкой долей добавочной стоимости, остающейся на территории района</w:t>
      </w:r>
      <w:r w:rsidR="001B12DC">
        <w:t xml:space="preserve">, она также более </w:t>
      </w:r>
      <w:r w:rsidR="004974E3">
        <w:t>подвержен</w:t>
      </w:r>
      <w:r w:rsidR="001B12DC">
        <w:t>а</w:t>
      </w:r>
      <w:r w:rsidR="004974E3">
        <w:t xml:space="preserve"> влиянию внешних факторов (изменению экономической конъюнктуры</w:t>
      </w:r>
      <w:r w:rsidR="001B12DC">
        <w:t xml:space="preserve"> и мировых цен на энергоносители</w:t>
      </w:r>
      <w:r w:rsidR="004974E3">
        <w:t xml:space="preserve">), что </w:t>
      </w:r>
      <w:r w:rsidR="00282094">
        <w:t>может негативно сказаться на экономике района</w:t>
      </w:r>
      <w:r w:rsidR="00282094" w:rsidRPr="00282094">
        <w:t xml:space="preserve"> </w:t>
      </w:r>
      <w:r w:rsidR="00282094">
        <w:t xml:space="preserve">в долгосрочной перспективе </w:t>
      </w:r>
      <w:r w:rsidR="004974E3">
        <w:t>при сохранении существующей структуры производства.</w:t>
      </w:r>
    </w:p>
    <w:p w14:paraId="29F3135C" w14:textId="7E8347BF" w:rsidR="004974E3" w:rsidRPr="004974E3" w:rsidRDefault="004974E3" w:rsidP="00A93D7F">
      <w:r>
        <w:t>На территории Нефтеюганского района также осуществляют деятельность предприятия лесопромышленного производства, строительной отрасли, транспортной отрасли</w:t>
      </w:r>
      <w:r w:rsidR="003B0152">
        <w:t>, агропромышленного комплекса</w:t>
      </w:r>
      <w:r>
        <w:t>. Предприятия лесопромышленного комплекса района ориентированы на лесозаготовки и производство деловой древесины – продукции с низкой добавленной стоимостью.</w:t>
      </w:r>
    </w:p>
    <w:p w14:paraId="1131C942" w14:textId="277F6BA8" w:rsidR="00572900" w:rsidRDefault="00F63BE4" w:rsidP="00A93D7F">
      <w:r>
        <w:lastRenderedPageBreak/>
        <w:t xml:space="preserve">По итогам 2016 г. </w:t>
      </w:r>
      <w:r w:rsidRPr="009B00E7">
        <w:t xml:space="preserve">среднегодовая </w:t>
      </w:r>
      <w:r>
        <w:t>ч</w:t>
      </w:r>
      <w:r w:rsidRPr="009B00E7">
        <w:t xml:space="preserve">исленность занятых в экономике </w:t>
      </w:r>
      <w:r>
        <w:t xml:space="preserve">составила </w:t>
      </w:r>
      <w:r w:rsidRPr="005240BA">
        <w:t>31</w:t>
      </w:r>
      <w:r w:rsidR="00BB10D5">
        <w:t>,0 тыс.</w:t>
      </w:r>
      <w:r>
        <w:t xml:space="preserve"> человек, из них </w:t>
      </w:r>
      <w:r w:rsidRPr="00625F47">
        <w:t xml:space="preserve">25,7 тыс. человек </w:t>
      </w:r>
      <w:r>
        <w:t>трудоустроены на крупных и средних</w:t>
      </w:r>
      <w:r w:rsidRPr="00625F47">
        <w:t xml:space="preserve"> </w:t>
      </w:r>
      <w:r>
        <w:t>предприятиях.</w:t>
      </w:r>
      <w:r w:rsidRPr="00625F47">
        <w:t xml:space="preserve"> </w:t>
      </w:r>
      <w:r w:rsidR="008F7A42">
        <w:t>Нефтедобывающий сектор также является ключевым работодателем для жителей района</w:t>
      </w:r>
      <w:r>
        <w:t xml:space="preserve">: на </w:t>
      </w:r>
      <w:r w:rsidR="008F7A42">
        <w:t>него</w:t>
      </w:r>
      <w:r>
        <w:t xml:space="preserve"> приходится 41,6% среднесписочной численности сотрудников предприятий района. Вторая по величине отрасль – транспорт и связь (13,9%), на предприятиях обрабатывающей отрасли занято 7,2% занятых в экономике.</w:t>
      </w:r>
    </w:p>
    <w:p w14:paraId="1516E93A" w14:textId="5EBBDD87" w:rsidR="004F581D" w:rsidRDefault="00E6067E" w:rsidP="00A93D7F">
      <w:r>
        <w:t>Д</w:t>
      </w:r>
      <w:r w:rsidRPr="00BF595E">
        <w:t xml:space="preserve">емографическая ситуация </w:t>
      </w:r>
      <w:r>
        <w:t>в Нефтеюганском районе</w:t>
      </w:r>
      <w:r w:rsidRPr="00BF595E">
        <w:t xml:space="preserve"> соответствует </w:t>
      </w:r>
      <w:r>
        <w:t xml:space="preserve">общероссийским </w:t>
      </w:r>
      <w:r w:rsidRPr="00BF595E">
        <w:t>демографическим тренда</w:t>
      </w:r>
      <w:r>
        <w:t>м: в</w:t>
      </w:r>
      <w:r w:rsidRPr="00BF595E">
        <w:t xml:space="preserve"> структуре населения с каждым годом увеличивается число лиц старше трудоспособного возраста и моложе трудоспособного возраста. </w:t>
      </w:r>
      <w:r w:rsidR="003A3A14">
        <w:t>Негативным фактором является миграционный отток населения, который</w:t>
      </w:r>
      <w:r w:rsidRPr="00BF595E">
        <w:t xml:space="preserve"> </w:t>
      </w:r>
      <w:r>
        <w:t xml:space="preserve">сохраняется преимущественно за счет </w:t>
      </w:r>
      <w:r w:rsidR="003A3A14">
        <w:t>миграции</w:t>
      </w:r>
      <w:r>
        <w:t xml:space="preserve"> населения</w:t>
      </w:r>
      <w:r w:rsidRPr="00BF595E">
        <w:t xml:space="preserve"> в возрасте 15-19 лет</w:t>
      </w:r>
      <w:r>
        <w:t xml:space="preserve"> и населения пенсионного возраста.</w:t>
      </w:r>
      <w:r w:rsidR="003A3A14" w:rsidRPr="003A3A14">
        <w:t xml:space="preserve"> </w:t>
      </w:r>
      <w:r w:rsidR="003A3A14">
        <w:t>В то же время, положительной тенденцией является увеличение</w:t>
      </w:r>
      <w:r w:rsidR="003A3A14" w:rsidRPr="00EC318B">
        <w:t xml:space="preserve"> среднегодовой численности постоянного населения, </w:t>
      </w:r>
      <w:r w:rsidR="003A3A14">
        <w:t xml:space="preserve">обусловленное </w:t>
      </w:r>
      <w:r w:rsidR="003A3A14" w:rsidRPr="00EC318B">
        <w:t>показателями естественного</w:t>
      </w:r>
      <w:r w:rsidR="003A3A14">
        <w:t xml:space="preserve"> прироста</w:t>
      </w:r>
      <w:r w:rsidR="003A3A14" w:rsidRPr="00EC318B">
        <w:t xml:space="preserve"> населения.</w:t>
      </w:r>
    </w:p>
    <w:p w14:paraId="1785E7F9" w14:textId="70A155A5" w:rsidR="00741A1E" w:rsidRPr="00BF7EBD" w:rsidRDefault="00741A1E" w:rsidP="00A93D7F">
      <w:r w:rsidRPr="00BF7EBD">
        <w:t xml:space="preserve">Анализ </w:t>
      </w:r>
      <w:r w:rsidR="0097573E" w:rsidRPr="00BF7EBD">
        <w:t xml:space="preserve">достигнутых </w:t>
      </w:r>
      <w:r w:rsidRPr="00BF7EBD">
        <w:t xml:space="preserve">показателей реализации </w:t>
      </w:r>
      <w:r w:rsidRPr="00BF7EBD">
        <w:rPr>
          <w:rFonts w:eastAsia="Times New Roman"/>
        </w:rPr>
        <w:t>Стратегии социально-экономического развития муниципального образования Нефтеюганский район на период до 2030 года</w:t>
      </w:r>
      <w:r w:rsidRPr="00BF7EBD">
        <w:t xml:space="preserve">, утвержденной </w:t>
      </w:r>
      <w:r w:rsidR="00BE704A" w:rsidRPr="00BF7EBD">
        <w:t xml:space="preserve">решением Думы Нефтеюганского района №600 от 27.05.2015 г., </w:t>
      </w:r>
      <w:r w:rsidR="0097573E" w:rsidRPr="00BF7EBD">
        <w:t xml:space="preserve">свидетельствует о </w:t>
      </w:r>
      <w:r w:rsidR="00B67ABD" w:rsidRPr="00BF7EBD">
        <w:t>высоком уровне реализации инициатив текущей версии Стратегии и фактическом перевыполнении значительной части плановых показателей.</w:t>
      </w:r>
      <w:r w:rsidR="009033FC" w:rsidRPr="00BF7EBD">
        <w:t xml:space="preserve"> По состоянию на 2016 г. были перевыполнены показатели экономического развития района:</w:t>
      </w:r>
    </w:p>
    <w:p w14:paraId="3F7FB9E1" w14:textId="502E8834" w:rsidR="009033FC" w:rsidRPr="00BF7EBD" w:rsidRDefault="009033FC" w:rsidP="00A93D7F">
      <w:pPr>
        <w:pStyle w:val="a0"/>
        <w:numPr>
          <w:ilvl w:val="0"/>
          <w:numId w:val="53"/>
        </w:numPr>
      </w:pPr>
      <w:r w:rsidRPr="00BF7EBD">
        <w:t>показатель объема отгруженных товаров собственного производства, выполненных работ и услуг крупными и средними предприятиями превысил плановое значение на 21,7%;</w:t>
      </w:r>
    </w:p>
    <w:p w14:paraId="6E4DDAAE" w14:textId="56B27CBD" w:rsidR="009033FC" w:rsidRPr="00BF7EBD" w:rsidRDefault="009033FC" w:rsidP="00A93D7F">
      <w:pPr>
        <w:pStyle w:val="a0"/>
        <w:numPr>
          <w:ilvl w:val="0"/>
          <w:numId w:val="53"/>
        </w:numPr>
      </w:pPr>
      <w:r w:rsidRPr="00BF7EBD">
        <w:t>показатель объема инвестиций в основной капитал превысил плановое значение на 49,3%, что связано, в первую очередь, с высоким уровнем инвестиционной активности добывающего сектора;</w:t>
      </w:r>
    </w:p>
    <w:p w14:paraId="18683D4C" w14:textId="70ACBD75" w:rsidR="009033FC" w:rsidRPr="00BF7EBD" w:rsidRDefault="009033FC" w:rsidP="00A93D7F">
      <w:pPr>
        <w:pStyle w:val="a0"/>
        <w:numPr>
          <w:ilvl w:val="0"/>
          <w:numId w:val="53"/>
        </w:numPr>
      </w:pPr>
      <w:r w:rsidRPr="00BF7EBD">
        <w:t xml:space="preserve">показатели уровня развития потребительского рынка – оборот розничной торговли и общественного питания были перевыполнены </w:t>
      </w:r>
      <w:r w:rsidR="008524EE" w:rsidRPr="00BF7EBD">
        <w:t>на 63,0% и 53,8% соответственно;</w:t>
      </w:r>
    </w:p>
    <w:p w14:paraId="6F4CCEF7" w14:textId="2283F361" w:rsidR="008524EE" w:rsidRPr="00BF7EBD" w:rsidRDefault="008524EE" w:rsidP="00A93D7F">
      <w:pPr>
        <w:pStyle w:val="a0"/>
        <w:numPr>
          <w:ilvl w:val="0"/>
          <w:numId w:val="53"/>
        </w:numPr>
      </w:pPr>
      <w:r w:rsidRPr="00BF7EBD">
        <w:t>уровень среднемесячной заработной платы превысил плановый показатель на 1,8%, уровень среднемесячных денежных доходов населения – на 9,1%.</w:t>
      </w:r>
    </w:p>
    <w:p w14:paraId="2465C5C3" w14:textId="77777777" w:rsidR="005B298B" w:rsidRPr="00BF7EBD" w:rsidRDefault="00224B0A" w:rsidP="00A93D7F">
      <w:r w:rsidRPr="00BF7EBD">
        <w:t>За период действия текущей версии Стратегии была проведена масштабная работа по обновлению основных фондов в жилищно-коммунальной сфере, на территории района достигнут высокий уровень обеспеченности населения жилищно-коммунальной инфраструктурой</w:t>
      </w:r>
      <w:r w:rsidR="000B71D1" w:rsidRPr="00BF7EBD">
        <w:t xml:space="preserve">: 97,8% жилищного фонда оснащено горячим водоснабжением, 97,7% – центральным отоплением, 94,9% – канализацией. </w:t>
      </w:r>
    </w:p>
    <w:p w14:paraId="632F64DC" w14:textId="71C647C2" w:rsidR="009033FC" w:rsidRPr="0097573E" w:rsidRDefault="005B298B" w:rsidP="00A93D7F">
      <w:r w:rsidRPr="00BF7EBD">
        <w:t>Следует также отметить высокий уровень исполнения целевых показателей, характеризующих социальную сферу района: все образовательные учреждения соответствуют современным требованиям обучения, среднемесячной заработной платы педагогических работников общеобразовательных организаций соответствует среднему по округу уровню заработной платы.</w:t>
      </w:r>
      <w:r w:rsidR="00DE332A" w:rsidRPr="00BF7EBD">
        <w:t xml:space="preserve"> Были также перевыполнены показатели культурно-досуговой и физкультурно-оздоровительной сфер: в 2016 г. 48,8% населения приняло участие в культурно-массовых мероприятиях, проведенных на территории района, доля населения, охваченного физкультурно-оздоровительными услугами составила 34,1%.</w:t>
      </w:r>
    </w:p>
    <w:p w14:paraId="03AC31AA" w14:textId="77777777" w:rsidR="00572900" w:rsidRDefault="00572900" w:rsidP="00A93D7F"/>
    <w:p w14:paraId="669426D9" w14:textId="77777777" w:rsidR="000F71E9" w:rsidRDefault="000F71E9" w:rsidP="00A93D7F">
      <w:pPr>
        <w:pStyle w:val="ac"/>
      </w:pPr>
      <w:r w:rsidRPr="000F71E9">
        <w:t xml:space="preserve">Таблица </w:t>
      </w:r>
      <w:fldSimple w:instr=" SEQ Таблица \* ARABIC ">
        <w:r w:rsidR="00ED1BAA">
          <w:rPr>
            <w:noProof/>
          </w:rPr>
          <w:t>1</w:t>
        </w:r>
      </w:fldSimple>
      <w:r w:rsidRPr="000F71E9">
        <w:t xml:space="preserve"> </w:t>
      </w:r>
    </w:p>
    <w:p w14:paraId="67ACBFA5" w14:textId="29EDF672" w:rsidR="000F71E9" w:rsidRPr="00EB6D73" w:rsidRDefault="000F71E9" w:rsidP="00A93D7F">
      <w:pPr>
        <w:pStyle w:val="ac"/>
      </w:pPr>
      <w:r w:rsidRPr="00EB6D73">
        <w:t xml:space="preserve">Оценка достигнутых целей социально-экономического развития района </w:t>
      </w:r>
      <w:r w:rsidR="00537B55" w:rsidRPr="00EB6D73">
        <w:t>по итогам 2016 г.</w:t>
      </w:r>
    </w:p>
    <w:tbl>
      <w:tblPr>
        <w:tblStyle w:val="ab"/>
        <w:tblW w:w="9339" w:type="dxa"/>
        <w:tblLook w:val="04A0" w:firstRow="1" w:lastRow="0" w:firstColumn="1" w:lastColumn="0" w:noHBand="0" w:noVBand="1"/>
      </w:tblPr>
      <w:tblGrid>
        <w:gridCol w:w="4063"/>
        <w:gridCol w:w="1296"/>
        <w:gridCol w:w="1191"/>
        <w:gridCol w:w="1236"/>
        <w:gridCol w:w="1553"/>
      </w:tblGrid>
      <w:tr w:rsidR="00E3482E" w:rsidRPr="008F3BD4" w14:paraId="2E80EDF1" w14:textId="770AC696" w:rsidTr="00EE74F2">
        <w:trPr>
          <w:trHeight w:val="539"/>
        </w:trPr>
        <w:tc>
          <w:tcPr>
            <w:tcW w:w="4063" w:type="dxa"/>
            <w:vAlign w:val="center"/>
          </w:tcPr>
          <w:p w14:paraId="7597153F" w14:textId="076E3EAC" w:rsidR="00E3482E" w:rsidRPr="008F3BD4" w:rsidRDefault="00E3482E" w:rsidP="00FE38C1">
            <w:pPr>
              <w:pStyle w:val="af7"/>
            </w:pPr>
            <w:r w:rsidRPr="008F3BD4">
              <w:t>Наименование показателя</w:t>
            </w:r>
          </w:p>
        </w:tc>
        <w:tc>
          <w:tcPr>
            <w:tcW w:w="1296" w:type="dxa"/>
            <w:vAlign w:val="center"/>
          </w:tcPr>
          <w:p w14:paraId="3EC3CDDF" w14:textId="1349F47E" w:rsidR="00E3482E" w:rsidRPr="008F3BD4" w:rsidRDefault="00E3482E" w:rsidP="00FE38C1">
            <w:pPr>
              <w:pStyle w:val="af7"/>
              <w:jc w:val="center"/>
            </w:pPr>
            <w:r w:rsidRPr="008F3BD4">
              <w:t>2014 (факт)</w:t>
            </w:r>
          </w:p>
        </w:tc>
        <w:tc>
          <w:tcPr>
            <w:tcW w:w="1191" w:type="dxa"/>
            <w:vAlign w:val="center"/>
          </w:tcPr>
          <w:p w14:paraId="4E210511" w14:textId="5255C06C" w:rsidR="00E3482E" w:rsidRPr="008F3BD4" w:rsidRDefault="00E3482E" w:rsidP="00FE38C1">
            <w:pPr>
              <w:pStyle w:val="af7"/>
              <w:jc w:val="center"/>
            </w:pPr>
            <w:r w:rsidRPr="008F3BD4">
              <w:t>2016 (план)</w:t>
            </w:r>
          </w:p>
        </w:tc>
        <w:tc>
          <w:tcPr>
            <w:tcW w:w="1236" w:type="dxa"/>
            <w:vAlign w:val="center"/>
          </w:tcPr>
          <w:p w14:paraId="63CC4506" w14:textId="610FD21D" w:rsidR="00E3482E" w:rsidRPr="008F3BD4" w:rsidRDefault="00E3482E" w:rsidP="00FE38C1">
            <w:pPr>
              <w:pStyle w:val="af7"/>
              <w:jc w:val="center"/>
            </w:pPr>
            <w:r w:rsidRPr="008F3BD4">
              <w:t>2016 (факт)</w:t>
            </w:r>
          </w:p>
        </w:tc>
        <w:tc>
          <w:tcPr>
            <w:tcW w:w="1553" w:type="dxa"/>
          </w:tcPr>
          <w:p w14:paraId="73716FE3" w14:textId="5F34B71B" w:rsidR="00E3482E" w:rsidRPr="008F3BD4" w:rsidRDefault="00E84785" w:rsidP="00FE38C1">
            <w:pPr>
              <w:pStyle w:val="af7"/>
              <w:jc w:val="center"/>
            </w:pPr>
            <w:r w:rsidRPr="008F3BD4">
              <w:t>Фактическое исполнение плана, %</w:t>
            </w:r>
          </w:p>
        </w:tc>
      </w:tr>
      <w:tr w:rsidR="00D0065B" w:rsidRPr="008F3BD4" w14:paraId="75CF51A6" w14:textId="77777777" w:rsidTr="00EE74F2">
        <w:trPr>
          <w:trHeight w:val="268"/>
        </w:trPr>
        <w:tc>
          <w:tcPr>
            <w:tcW w:w="9339" w:type="dxa"/>
            <w:gridSpan w:val="5"/>
            <w:vAlign w:val="center"/>
          </w:tcPr>
          <w:p w14:paraId="4732756B" w14:textId="46554563" w:rsidR="00D0065B" w:rsidRPr="00FE38C1" w:rsidRDefault="00D0065B" w:rsidP="00FE38C1">
            <w:pPr>
              <w:pStyle w:val="af7"/>
              <w:jc w:val="center"/>
              <w:rPr>
                <w:b/>
                <w:color w:val="00B050"/>
              </w:rPr>
            </w:pPr>
            <w:r w:rsidRPr="00FE38C1">
              <w:rPr>
                <w:b/>
              </w:rPr>
              <w:lastRenderedPageBreak/>
              <w:t>Доходы населения</w:t>
            </w:r>
          </w:p>
        </w:tc>
      </w:tr>
      <w:tr w:rsidR="00D0065B" w:rsidRPr="008F3BD4" w14:paraId="0D168DB1" w14:textId="77777777" w:rsidTr="00EE74F2">
        <w:trPr>
          <w:trHeight w:val="561"/>
        </w:trPr>
        <w:tc>
          <w:tcPr>
            <w:tcW w:w="4063" w:type="dxa"/>
            <w:vAlign w:val="center"/>
          </w:tcPr>
          <w:p w14:paraId="519B4D64" w14:textId="73497ECA" w:rsidR="00D0065B" w:rsidRPr="008F3BD4" w:rsidRDefault="00D0065B" w:rsidP="00FE38C1">
            <w:pPr>
              <w:pStyle w:val="af7"/>
            </w:pPr>
            <w:r w:rsidRPr="008F3BD4">
              <w:t>Среднемесячная заработная плата (по району), руб.</w:t>
            </w:r>
          </w:p>
        </w:tc>
        <w:tc>
          <w:tcPr>
            <w:tcW w:w="1296" w:type="dxa"/>
            <w:vAlign w:val="center"/>
          </w:tcPr>
          <w:p w14:paraId="4DF4DB88" w14:textId="659212C7" w:rsidR="00D0065B" w:rsidRPr="008F3BD4" w:rsidRDefault="00D0065B" w:rsidP="00FE38C1">
            <w:pPr>
              <w:pStyle w:val="af7"/>
              <w:jc w:val="center"/>
            </w:pPr>
            <w:r w:rsidRPr="008F3BD4">
              <w:t>64710,6</w:t>
            </w:r>
          </w:p>
        </w:tc>
        <w:tc>
          <w:tcPr>
            <w:tcW w:w="1191" w:type="dxa"/>
            <w:vAlign w:val="center"/>
          </w:tcPr>
          <w:p w14:paraId="4596C0F4" w14:textId="2FE73ED3" w:rsidR="00D0065B" w:rsidRPr="008F3BD4" w:rsidRDefault="00D0065B" w:rsidP="00FE38C1">
            <w:pPr>
              <w:pStyle w:val="af7"/>
              <w:jc w:val="center"/>
            </w:pPr>
            <w:r w:rsidRPr="008F3BD4">
              <w:t>71643,4</w:t>
            </w:r>
          </w:p>
        </w:tc>
        <w:tc>
          <w:tcPr>
            <w:tcW w:w="1236" w:type="dxa"/>
            <w:vAlign w:val="center"/>
          </w:tcPr>
          <w:p w14:paraId="43753498" w14:textId="5561F905" w:rsidR="00D0065B" w:rsidRPr="008F3BD4" w:rsidRDefault="00D0065B" w:rsidP="00FE38C1">
            <w:pPr>
              <w:pStyle w:val="af7"/>
              <w:jc w:val="center"/>
            </w:pPr>
            <w:r w:rsidRPr="008F3BD4">
              <w:t>72898,4</w:t>
            </w:r>
          </w:p>
        </w:tc>
        <w:tc>
          <w:tcPr>
            <w:tcW w:w="1553" w:type="dxa"/>
            <w:vAlign w:val="center"/>
          </w:tcPr>
          <w:p w14:paraId="026F90E7" w14:textId="2DED3268" w:rsidR="00D0065B" w:rsidRPr="00FE38C1" w:rsidRDefault="00D0065B" w:rsidP="00FE38C1">
            <w:pPr>
              <w:pStyle w:val="af7"/>
              <w:jc w:val="center"/>
              <w:rPr>
                <w:b/>
              </w:rPr>
            </w:pPr>
            <w:r w:rsidRPr="00FE38C1">
              <w:rPr>
                <w:b/>
                <w:color w:val="00B050"/>
              </w:rPr>
              <w:t>101,8</w:t>
            </w:r>
            <w:r w:rsidR="00CB4A3A" w:rsidRPr="00FE38C1">
              <w:rPr>
                <w:b/>
                <w:color w:val="00B050"/>
              </w:rPr>
              <w:t>%</w:t>
            </w:r>
          </w:p>
        </w:tc>
      </w:tr>
      <w:tr w:rsidR="00D0065B" w:rsidRPr="008F3BD4" w14:paraId="044251E7" w14:textId="77777777" w:rsidTr="00EE74F2">
        <w:trPr>
          <w:trHeight w:val="519"/>
        </w:trPr>
        <w:tc>
          <w:tcPr>
            <w:tcW w:w="4063" w:type="dxa"/>
            <w:vAlign w:val="center"/>
          </w:tcPr>
          <w:p w14:paraId="4133C6B5" w14:textId="1C9631CA" w:rsidR="00D0065B" w:rsidRPr="008F3BD4" w:rsidRDefault="00D0065B" w:rsidP="00FE38C1">
            <w:pPr>
              <w:pStyle w:val="af7"/>
            </w:pPr>
            <w:r w:rsidRPr="008F3BD4">
              <w:t>Среднемесячные денежные доходы в расчете на душу населения, руб.</w:t>
            </w:r>
          </w:p>
        </w:tc>
        <w:tc>
          <w:tcPr>
            <w:tcW w:w="1296" w:type="dxa"/>
            <w:vAlign w:val="center"/>
          </w:tcPr>
          <w:p w14:paraId="7A5AF60D" w14:textId="4900C542" w:rsidR="00D0065B" w:rsidRPr="008F3BD4" w:rsidRDefault="00D0065B" w:rsidP="00FE38C1">
            <w:pPr>
              <w:pStyle w:val="af7"/>
              <w:jc w:val="center"/>
            </w:pPr>
            <w:r w:rsidRPr="008F3BD4">
              <w:t>41118,1</w:t>
            </w:r>
          </w:p>
        </w:tc>
        <w:tc>
          <w:tcPr>
            <w:tcW w:w="1191" w:type="dxa"/>
            <w:vAlign w:val="center"/>
          </w:tcPr>
          <w:p w14:paraId="0E9E4AEF" w14:textId="3D9C5BA1" w:rsidR="00D0065B" w:rsidRPr="008F3BD4" w:rsidRDefault="00D0065B" w:rsidP="00FE38C1">
            <w:pPr>
              <w:pStyle w:val="af7"/>
              <w:jc w:val="center"/>
            </w:pPr>
            <w:r w:rsidRPr="008F3BD4">
              <w:t>44516,1</w:t>
            </w:r>
          </w:p>
        </w:tc>
        <w:tc>
          <w:tcPr>
            <w:tcW w:w="1236" w:type="dxa"/>
            <w:vAlign w:val="center"/>
          </w:tcPr>
          <w:p w14:paraId="69AD7030" w14:textId="3274037C" w:rsidR="00D0065B" w:rsidRPr="008F3BD4" w:rsidRDefault="00D0065B" w:rsidP="00FE38C1">
            <w:pPr>
              <w:pStyle w:val="af7"/>
              <w:jc w:val="center"/>
            </w:pPr>
            <w:r w:rsidRPr="008F3BD4">
              <w:t>48564,5</w:t>
            </w:r>
          </w:p>
        </w:tc>
        <w:tc>
          <w:tcPr>
            <w:tcW w:w="1553" w:type="dxa"/>
            <w:vAlign w:val="center"/>
          </w:tcPr>
          <w:p w14:paraId="3DB5D893" w14:textId="7FB37EA4" w:rsidR="00D0065B" w:rsidRPr="00FE38C1" w:rsidRDefault="00D0065B" w:rsidP="00FE38C1">
            <w:pPr>
              <w:pStyle w:val="af7"/>
              <w:jc w:val="center"/>
              <w:rPr>
                <w:b/>
              </w:rPr>
            </w:pPr>
            <w:r w:rsidRPr="00FE38C1">
              <w:rPr>
                <w:b/>
                <w:color w:val="00B050"/>
              </w:rPr>
              <w:t>109,1</w:t>
            </w:r>
            <w:r w:rsidR="00CB4A3A" w:rsidRPr="00FE38C1">
              <w:rPr>
                <w:b/>
                <w:color w:val="00B050"/>
              </w:rPr>
              <w:t>%</w:t>
            </w:r>
          </w:p>
        </w:tc>
      </w:tr>
      <w:tr w:rsidR="00D0065B" w:rsidRPr="008F3BD4" w14:paraId="26EE3854" w14:textId="77777777" w:rsidTr="00EE74F2">
        <w:trPr>
          <w:trHeight w:val="337"/>
        </w:trPr>
        <w:tc>
          <w:tcPr>
            <w:tcW w:w="4063" w:type="dxa"/>
            <w:vAlign w:val="center"/>
          </w:tcPr>
          <w:p w14:paraId="2966A01C" w14:textId="1E0AA05C" w:rsidR="00D0065B" w:rsidRPr="008F3BD4" w:rsidRDefault="00D0065B" w:rsidP="00FE38C1">
            <w:pPr>
              <w:pStyle w:val="af7"/>
            </w:pPr>
            <w:r w:rsidRPr="008F3BD4">
              <w:t>Средний размер дохода пенсионера,</w:t>
            </w:r>
            <w:r w:rsidRPr="008F3BD4">
              <w:rPr>
                <w:b/>
                <w:bCs/>
              </w:rPr>
              <w:t xml:space="preserve"> </w:t>
            </w:r>
            <w:r w:rsidRPr="008F3BD4">
              <w:t>руб.</w:t>
            </w:r>
          </w:p>
        </w:tc>
        <w:tc>
          <w:tcPr>
            <w:tcW w:w="1296" w:type="dxa"/>
            <w:vAlign w:val="center"/>
          </w:tcPr>
          <w:p w14:paraId="61191A2D" w14:textId="18B69A6D" w:rsidR="00D0065B" w:rsidRPr="008F3BD4" w:rsidRDefault="00D0065B" w:rsidP="00FE38C1">
            <w:pPr>
              <w:pStyle w:val="af7"/>
              <w:jc w:val="center"/>
            </w:pPr>
            <w:r w:rsidRPr="008F3BD4">
              <w:t>16147,0</w:t>
            </w:r>
          </w:p>
        </w:tc>
        <w:tc>
          <w:tcPr>
            <w:tcW w:w="1191" w:type="dxa"/>
            <w:vAlign w:val="center"/>
          </w:tcPr>
          <w:p w14:paraId="1B0E1F8B" w14:textId="304F197F" w:rsidR="00D0065B" w:rsidRPr="008F3BD4" w:rsidRDefault="00D0065B" w:rsidP="00FE38C1">
            <w:pPr>
              <w:pStyle w:val="af7"/>
              <w:jc w:val="center"/>
            </w:pPr>
            <w:r w:rsidRPr="008F3BD4">
              <w:t>20750,0</w:t>
            </w:r>
          </w:p>
        </w:tc>
        <w:tc>
          <w:tcPr>
            <w:tcW w:w="1236" w:type="dxa"/>
            <w:vAlign w:val="center"/>
          </w:tcPr>
          <w:p w14:paraId="07DCE041" w14:textId="6591E511" w:rsidR="00D0065B" w:rsidRPr="008F3BD4" w:rsidRDefault="00D0065B" w:rsidP="00FE38C1">
            <w:pPr>
              <w:pStyle w:val="af7"/>
              <w:jc w:val="center"/>
            </w:pPr>
            <w:r w:rsidRPr="008F3BD4">
              <w:t>18850,0</w:t>
            </w:r>
          </w:p>
        </w:tc>
        <w:tc>
          <w:tcPr>
            <w:tcW w:w="1553" w:type="dxa"/>
            <w:vAlign w:val="center"/>
          </w:tcPr>
          <w:p w14:paraId="3F93DF67" w14:textId="240E68FE" w:rsidR="00D0065B" w:rsidRPr="008F3BD4" w:rsidRDefault="00D0065B" w:rsidP="00FE38C1">
            <w:pPr>
              <w:pStyle w:val="af7"/>
              <w:jc w:val="center"/>
              <w:rPr>
                <w:b/>
                <w:color w:val="00B050"/>
              </w:rPr>
            </w:pPr>
            <w:r w:rsidRPr="008F3BD4">
              <w:t>90,8</w:t>
            </w:r>
            <w:r w:rsidR="00CB4A3A" w:rsidRPr="008F3BD4">
              <w:t>%</w:t>
            </w:r>
          </w:p>
        </w:tc>
      </w:tr>
      <w:tr w:rsidR="00D0065B" w:rsidRPr="008F3BD4" w14:paraId="04715DBF" w14:textId="77777777" w:rsidTr="00EE74F2">
        <w:trPr>
          <w:trHeight w:val="199"/>
        </w:trPr>
        <w:tc>
          <w:tcPr>
            <w:tcW w:w="9339" w:type="dxa"/>
            <w:gridSpan w:val="5"/>
            <w:vAlign w:val="center"/>
          </w:tcPr>
          <w:p w14:paraId="096F0DCE" w14:textId="55E025EC" w:rsidR="00D0065B" w:rsidRPr="00FE38C1" w:rsidRDefault="00CB4A3A" w:rsidP="00FE38C1">
            <w:pPr>
              <w:pStyle w:val="af7"/>
              <w:jc w:val="center"/>
              <w:rPr>
                <w:b/>
                <w:color w:val="00B050"/>
              </w:rPr>
            </w:pPr>
            <w:r w:rsidRPr="00FE38C1">
              <w:rPr>
                <w:b/>
              </w:rPr>
              <w:t>Экономический рост</w:t>
            </w:r>
          </w:p>
        </w:tc>
      </w:tr>
      <w:tr w:rsidR="00CB4A3A" w:rsidRPr="008F3BD4" w14:paraId="56316F96" w14:textId="77777777" w:rsidTr="00EE74F2">
        <w:trPr>
          <w:trHeight w:val="590"/>
        </w:trPr>
        <w:tc>
          <w:tcPr>
            <w:tcW w:w="4063" w:type="dxa"/>
            <w:vAlign w:val="center"/>
          </w:tcPr>
          <w:p w14:paraId="2D7E254B" w14:textId="078A0F46" w:rsidR="00CB4A3A" w:rsidRPr="008F3BD4" w:rsidRDefault="00CB4A3A" w:rsidP="00FE38C1">
            <w:pPr>
              <w:pStyle w:val="af7"/>
            </w:pPr>
            <w:r w:rsidRPr="008F3BD4">
              <w:t>Объем отгруженных товаров собственного производства, выполненных работ и услуг собственными силами по чистым видам экономической деятельности по крупным и средним предприятиям, млн. руб.</w:t>
            </w:r>
          </w:p>
        </w:tc>
        <w:tc>
          <w:tcPr>
            <w:tcW w:w="1296" w:type="dxa"/>
            <w:vAlign w:val="center"/>
          </w:tcPr>
          <w:p w14:paraId="5B697DF8" w14:textId="567897B1" w:rsidR="00CB4A3A" w:rsidRPr="008F3BD4" w:rsidRDefault="00CB4A3A" w:rsidP="00FE38C1">
            <w:pPr>
              <w:pStyle w:val="af7"/>
              <w:jc w:val="center"/>
            </w:pPr>
            <w:r w:rsidRPr="008F3BD4">
              <w:t>211413,9</w:t>
            </w:r>
          </w:p>
        </w:tc>
        <w:tc>
          <w:tcPr>
            <w:tcW w:w="1191" w:type="dxa"/>
            <w:vAlign w:val="center"/>
          </w:tcPr>
          <w:p w14:paraId="7912771F" w14:textId="6B604208" w:rsidR="00CB4A3A" w:rsidRPr="008F3BD4" w:rsidRDefault="00CB4A3A" w:rsidP="00FE38C1">
            <w:pPr>
              <w:pStyle w:val="af7"/>
              <w:jc w:val="center"/>
            </w:pPr>
            <w:r w:rsidRPr="008F3BD4">
              <w:t>215238,5</w:t>
            </w:r>
          </w:p>
        </w:tc>
        <w:tc>
          <w:tcPr>
            <w:tcW w:w="1236" w:type="dxa"/>
            <w:vAlign w:val="center"/>
          </w:tcPr>
          <w:p w14:paraId="5470CCE8" w14:textId="66D219DA" w:rsidR="00CB4A3A" w:rsidRPr="008F3BD4" w:rsidRDefault="00CB4A3A" w:rsidP="00FE38C1">
            <w:pPr>
              <w:pStyle w:val="af7"/>
              <w:jc w:val="center"/>
            </w:pPr>
            <w:r w:rsidRPr="008F3BD4">
              <w:t>262008,3</w:t>
            </w:r>
          </w:p>
        </w:tc>
        <w:tc>
          <w:tcPr>
            <w:tcW w:w="1553" w:type="dxa"/>
            <w:vAlign w:val="center"/>
          </w:tcPr>
          <w:p w14:paraId="0671C8CF" w14:textId="3B6115B3" w:rsidR="00CB4A3A" w:rsidRPr="00FE38C1" w:rsidRDefault="00CB4A3A" w:rsidP="00FE38C1">
            <w:pPr>
              <w:pStyle w:val="af7"/>
              <w:jc w:val="center"/>
              <w:rPr>
                <w:b/>
                <w:color w:val="00B050"/>
              </w:rPr>
            </w:pPr>
            <w:r w:rsidRPr="00FE38C1">
              <w:rPr>
                <w:b/>
                <w:color w:val="00B050"/>
              </w:rPr>
              <w:t>121,7%</w:t>
            </w:r>
          </w:p>
        </w:tc>
      </w:tr>
      <w:tr w:rsidR="00CB4A3A" w:rsidRPr="008F3BD4" w14:paraId="58BB9A00" w14:textId="77777777" w:rsidTr="00EE74F2">
        <w:trPr>
          <w:trHeight w:val="729"/>
        </w:trPr>
        <w:tc>
          <w:tcPr>
            <w:tcW w:w="4063" w:type="dxa"/>
            <w:vAlign w:val="center"/>
          </w:tcPr>
          <w:p w14:paraId="783A279E" w14:textId="649FBBFE" w:rsidR="00CB4A3A" w:rsidRPr="008F3BD4" w:rsidRDefault="00CB4A3A" w:rsidP="00FE38C1">
            <w:pPr>
              <w:pStyle w:val="af7"/>
            </w:pPr>
            <w:r w:rsidRPr="008F3BD4">
              <w:t>Объем инвестиций в основной капитал за счет всех источников финансирования, млн. руб.</w:t>
            </w:r>
          </w:p>
        </w:tc>
        <w:tc>
          <w:tcPr>
            <w:tcW w:w="1296" w:type="dxa"/>
            <w:vAlign w:val="center"/>
          </w:tcPr>
          <w:p w14:paraId="6A0EBE13" w14:textId="5EFBF356" w:rsidR="00CB4A3A" w:rsidRPr="008F3BD4" w:rsidRDefault="00CB4A3A" w:rsidP="00FE38C1">
            <w:pPr>
              <w:pStyle w:val="af7"/>
              <w:jc w:val="center"/>
            </w:pPr>
            <w:r w:rsidRPr="008F3BD4">
              <w:t>67558,9</w:t>
            </w:r>
          </w:p>
        </w:tc>
        <w:tc>
          <w:tcPr>
            <w:tcW w:w="1191" w:type="dxa"/>
            <w:vAlign w:val="center"/>
          </w:tcPr>
          <w:p w14:paraId="529ECB79" w14:textId="02B311F2" w:rsidR="00CB4A3A" w:rsidRPr="008F3BD4" w:rsidRDefault="00CB4A3A" w:rsidP="00FE38C1">
            <w:pPr>
              <w:pStyle w:val="af7"/>
              <w:jc w:val="center"/>
            </w:pPr>
            <w:r w:rsidRPr="008F3BD4">
              <w:t>74595,6</w:t>
            </w:r>
          </w:p>
        </w:tc>
        <w:tc>
          <w:tcPr>
            <w:tcW w:w="1236" w:type="dxa"/>
            <w:vAlign w:val="center"/>
          </w:tcPr>
          <w:p w14:paraId="30F0C25D" w14:textId="2AC43361" w:rsidR="00CB4A3A" w:rsidRPr="008F3BD4" w:rsidRDefault="00CB4A3A" w:rsidP="00FE38C1">
            <w:pPr>
              <w:pStyle w:val="af7"/>
              <w:jc w:val="center"/>
            </w:pPr>
            <w:r w:rsidRPr="008F3BD4">
              <w:t>111395,9</w:t>
            </w:r>
          </w:p>
        </w:tc>
        <w:tc>
          <w:tcPr>
            <w:tcW w:w="1553" w:type="dxa"/>
            <w:vAlign w:val="center"/>
          </w:tcPr>
          <w:p w14:paraId="1F5D48B9" w14:textId="7A51C486" w:rsidR="00CB4A3A" w:rsidRPr="00FE38C1" w:rsidRDefault="00CB4A3A" w:rsidP="00FE38C1">
            <w:pPr>
              <w:pStyle w:val="af7"/>
              <w:jc w:val="center"/>
              <w:rPr>
                <w:b/>
                <w:color w:val="00B050"/>
              </w:rPr>
            </w:pPr>
            <w:r w:rsidRPr="00FE38C1">
              <w:rPr>
                <w:b/>
                <w:color w:val="00B050"/>
              </w:rPr>
              <w:t>149,3%</w:t>
            </w:r>
          </w:p>
        </w:tc>
      </w:tr>
      <w:tr w:rsidR="00BF615C" w:rsidRPr="008F3BD4" w14:paraId="6BF75486" w14:textId="77777777" w:rsidTr="00FE38C1">
        <w:trPr>
          <w:trHeight w:val="338"/>
        </w:trPr>
        <w:tc>
          <w:tcPr>
            <w:tcW w:w="9339" w:type="dxa"/>
            <w:gridSpan w:val="5"/>
            <w:vAlign w:val="center"/>
          </w:tcPr>
          <w:p w14:paraId="0E624B81" w14:textId="6B785055" w:rsidR="00BF615C" w:rsidRPr="00FE38C1" w:rsidRDefault="00BF615C" w:rsidP="00FE38C1">
            <w:pPr>
              <w:pStyle w:val="af7"/>
              <w:jc w:val="center"/>
              <w:rPr>
                <w:b/>
                <w:color w:val="00B050"/>
              </w:rPr>
            </w:pPr>
            <w:r w:rsidRPr="00FE38C1">
              <w:rPr>
                <w:b/>
              </w:rPr>
              <w:t>Развитие потребительского рынка</w:t>
            </w:r>
          </w:p>
        </w:tc>
      </w:tr>
      <w:tr w:rsidR="00BF615C" w:rsidRPr="008F3BD4" w14:paraId="6497A8B7" w14:textId="77777777" w:rsidTr="00EE74F2">
        <w:trPr>
          <w:trHeight w:val="353"/>
        </w:trPr>
        <w:tc>
          <w:tcPr>
            <w:tcW w:w="4063" w:type="dxa"/>
            <w:vAlign w:val="center"/>
          </w:tcPr>
          <w:p w14:paraId="1A0A5A18" w14:textId="1A2F1679" w:rsidR="00BF615C" w:rsidRPr="008F3BD4" w:rsidRDefault="00BF615C" w:rsidP="00FE38C1">
            <w:pPr>
              <w:pStyle w:val="af7"/>
            </w:pPr>
            <w:r w:rsidRPr="008F3BD4">
              <w:t>Оборот розничной торговли, тыс. руб.</w:t>
            </w:r>
          </w:p>
        </w:tc>
        <w:tc>
          <w:tcPr>
            <w:tcW w:w="1296" w:type="dxa"/>
            <w:vAlign w:val="center"/>
          </w:tcPr>
          <w:p w14:paraId="4A5048D2" w14:textId="2FEAE070" w:rsidR="00BF615C" w:rsidRPr="008F3BD4" w:rsidRDefault="00BF615C" w:rsidP="00FE38C1">
            <w:pPr>
              <w:pStyle w:val="af7"/>
              <w:jc w:val="center"/>
            </w:pPr>
            <w:r w:rsidRPr="008F3BD4">
              <w:t>787346,6</w:t>
            </w:r>
          </w:p>
        </w:tc>
        <w:tc>
          <w:tcPr>
            <w:tcW w:w="1191" w:type="dxa"/>
            <w:vAlign w:val="center"/>
          </w:tcPr>
          <w:p w14:paraId="050686DF" w14:textId="60B0E946" w:rsidR="00BF615C" w:rsidRPr="008F3BD4" w:rsidRDefault="00BF615C" w:rsidP="00FE38C1">
            <w:pPr>
              <w:pStyle w:val="af7"/>
              <w:jc w:val="center"/>
            </w:pPr>
            <w:r w:rsidRPr="008F3BD4">
              <w:t>855688,3</w:t>
            </w:r>
          </w:p>
        </w:tc>
        <w:tc>
          <w:tcPr>
            <w:tcW w:w="1236" w:type="dxa"/>
            <w:vAlign w:val="center"/>
          </w:tcPr>
          <w:p w14:paraId="6670BFAC" w14:textId="7DF2124B" w:rsidR="00BF615C" w:rsidRPr="008F3BD4" w:rsidRDefault="00BF615C" w:rsidP="00FE38C1">
            <w:pPr>
              <w:pStyle w:val="af7"/>
              <w:jc w:val="center"/>
            </w:pPr>
            <w:r w:rsidRPr="008F3BD4">
              <w:t>1394604,8</w:t>
            </w:r>
          </w:p>
        </w:tc>
        <w:tc>
          <w:tcPr>
            <w:tcW w:w="1553" w:type="dxa"/>
            <w:vAlign w:val="center"/>
          </w:tcPr>
          <w:p w14:paraId="0E761F33" w14:textId="27209E5B" w:rsidR="00BF615C" w:rsidRPr="00FE38C1" w:rsidRDefault="00BF615C" w:rsidP="00FE38C1">
            <w:pPr>
              <w:pStyle w:val="af7"/>
              <w:jc w:val="center"/>
              <w:rPr>
                <w:b/>
                <w:color w:val="00B050"/>
              </w:rPr>
            </w:pPr>
            <w:r w:rsidRPr="00FE38C1">
              <w:rPr>
                <w:b/>
                <w:color w:val="00B050"/>
              </w:rPr>
              <w:t>163,0%</w:t>
            </w:r>
          </w:p>
        </w:tc>
      </w:tr>
      <w:tr w:rsidR="00BF615C" w:rsidRPr="008F3BD4" w14:paraId="29828EF6" w14:textId="77777777" w:rsidTr="00EE74F2">
        <w:trPr>
          <w:trHeight w:val="367"/>
        </w:trPr>
        <w:tc>
          <w:tcPr>
            <w:tcW w:w="4063" w:type="dxa"/>
            <w:vAlign w:val="center"/>
          </w:tcPr>
          <w:p w14:paraId="5414CCB5" w14:textId="156B2BE8" w:rsidR="00BF615C" w:rsidRPr="008F3BD4" w:rsidRDefault="00BF615C" w:rsidP="00FE38C1">
            <w:pPr>
              <w:pStyle w:val="af7"/>
            </w:pPr>
            <w:r w:rsidRPr="008F3BD4">
              <w:t>Оборот общественного питания, тыс. руб.</w:t>
            </w:r>
          </w:p>
        </w:tc>
        <w:tc>
          <w:tcPr>
            <w:tcW w:w="1296" w:type="dxa"/>
            <w:vAlign w:val="center"/>
          </w:tcPr>
          <w:p w14:paraId="3CFE27BA" w14:textId="4B802C90" w:rsidR="00BF615C" w:rsidRPr="008F3BD4" w:rsidRDefault="00BF615C" w:rsidP="00FE38C1">
            <w:pPr>
              <w:pStyle w:val="af7"/>
              <w:jc w:val="center"/>
            </w:pPr>
            <w:r w:rsidRPr="008F3BD4">
              <w:t>500112,0</w:t>
            </w:r>
          </w:p>
        </w:tc>
        <w:tc>
          <w:tcPr>
            <w:tcW w:w="1191" w:type="dxa"/>
            <w:vAlign w:val="center"/>
          </w:tcPr>
          <w:p w14:paraId="7D46DA97" w14:textId="0F3A5C85" w:rsidR="00BF615C" w:rsidRPr="008F3BD4" w:rsidRDefault="00BF615C" w:rsidP="00FE38C1">
            <w:pPr>
              <w:pStyle w:val="af7"/>
              <w:jc w:val="center"/>
            </w:pPr>
            <w:r w:rsidRPr="008F3BD4">
              <w:t>543521,7</w:t>
            </w:r>
          </w:p>
        </w:tc>
        <w:tc>
          <w:tcPr>
            <w:tcW w:w="1236" w:type="dxa"/>
            <w:vAlign w:val="center"/>
          </w:tcPr>
          <w:p w14:paraId="223CD2C3" w14:textId="4CFC0360" w:rsidR="00BF615C" w:rsidRPr="008F3BD4" w:rsidRDefault="00BF615C" w:rsidP="00FE38C1">
            <w:pPr>
              <w:pStyle w:val="af7"/>
              <w:jc w:val="center"/>
            </w:pPr>
            <w:r w:rsidRPr="008F3BD4">
              <w:t>836200,3</w:t>
            </w:r>
          </w:p>
        </w:tc>
        <w:tc>
          <w:tcPr>
            <w:tcW w:w="1553" w:type="dxa"/>
            <w:vAlign w:val="center"/>
          </w:tcPr>
          <w:p w14:paraId="126E38B7" w14:textId="2967E2E6" w:rsidR="00BF615C" w:rsidRPr="00FE38C1" w:rsidRDefault="00BF615C" w:rsidP="00FE38C1">
            <w:pPr>
              <w:pStyle w:val="af7"/>
              <w:jc w:val="center"/>
              <w:rPr>
                <w:b/>
                <w:color w:val="00B050"/>
              </w:rPr>
            </w:pPr>
            <w:r w:rsidRPr="00FE38C1">
              <w:rPr>
                <w:b/>
                <w:color w:val="00B050"/>
              </w:rPr>
              <w:t>153,8%</w:t>
            </w:r>
          </w:p>
        </w:tc>
      </w:tr>
      <w:tr w:rsidR="00BF615C" w:rsidRPr="008F3BD4" w14:paraId="6ACD4D29" w14:textId="77777777" w:rsidTr="00EE74F2">
        <w:trPr>
          <w:trHeight w:val="338"/>
        </w:trPr>
        <w:tc>
          <w:tcPr>
            <w:tcW w:w="4063" w:type="dxa"/>
            <w:vAlign w:val="center"/>
          </w:tcPr>
          <w:p w14:paraId="63333E96" w14:textId="3F23C175" w:rsidR="00BF615C" w:rsidRPr="008F3BD4" w:rsidRDefault="00BF615C" w:rsidP="00FE38C1">
            <w:pPr>
              <w:pStyle w:val="af7"/>
            </w:pPr>
            <w:r w:rsidRPr="008F3BD4">
              <w:t>Оборот платных услуг, млн. руб.</w:t>
            </w:r>
          </w:p>
        </w:tc>
        <w:tc>
          <w:tcPr>
            <w:tcW w:w="1296" w:type="dxa"/>
            <w:vAlign w:val="center"/>
          </w:tcPr>
          <w:p w14:paraId="3FF4FEE6" w14:textId="59C18C87" w:rsidR="00BF615C" w:rsidRPr="008F3BD4" w:rsidRDefault="00BF615C" w:rsidP="00FE38C1">
            <w:pPr>
              <w:pStyle w:val="af7"/>
              <w:jc w:val="center"/>
            </w:pPr>
            <w:r w:rsidRPr="008F3BD4">
              <w:t>1178,7</w:t>
            </w:r>
          </w:p>
        </w:tc>
        <w:tc>
          <w:tcPr>
            <w:tcW w:w="1191" w:type="dxa"/>
            <w:vAlign w:val="center"/>
          </w:tcPr>
          <w:p w14:paraId="34E38171" w14:textId="71390DE0" w:rsidR="00BF615C" w:rsidRPr="008F3BD4" w:rsidRDefault="00BF615C" w:rsidP="00FE38C1">
            <w:pPr>
              <w:pStyle w:val="af7"/>
              <w:jc w:val="center"/>
            </w:pPr>
            <w:r w:rsidRPr="008F3BD4">
              <w:t>1202,4</w:t>
            </w:r>
          </w:p>
        </w:tc>
        <w:tc>
          <w:tcPr>
            <w:tcW w:w="1236" w:type="dxa"/>
            <w:vAlign w:val="center"/>
          </w:tcPr>
          <w:p w14:paraId="16E99542" w14:textId="34D64DBA" w:rsidR="00BF615C" w:rsidRPr="008F3BD4" w:rsidRDefault="00BF615C" w:rsidP="00FE38C1">
            <w:pPr>
              <w:pStyle w:val="af7"/>
              <w:jc w:val="center"/>
            </w:pPr>
            <w:r w:rsidRPr="008F3BD4">
              <w:t>723,7</w:t>
            </w:r>
          </w:p>
        </w:tc>
        <w:tc>
          <w:tcPr>
            <w:tcW w:w="1553" w:type="dxa"/>
            <w:vAlign w:val="center"/>
          </w:tcPr>
          <w:p w14:paraId="1A0FCA37" w14:textId="1178633B" w:rsidR="00BF615C" w:rsidRPr="008F3BD4" w:rsidRDefault="00BF615C" w:rsidP="00FE38C1">
            <w:pPr>
              <w:pStyle w:val="af7"/>
              <w:jc w:val="center"/>
              <w:rPr>
                <w:b/>
                <w:color w:val="00B050"/>
              </w:rPr>
            </w:pPr>
            <w:r w:rsidRPr="008F3BD4">
              <w:t>60,2%</w:t>
            </w:r>
          </w:p>
        </w:tc>
      </w:tr>
      <w:tr w:rsidR="00451294" w:rsidRPr="008F3BD4" w14:paraId="31012E96" w14:textId="117ED876" w:rsidTr="00EE74F2">
        <w:trPr>
          <w:trHeight w:val="261"/>
        </w:trPr>
        <w:tc>
          <w:tcPr>
            <w:tcW w:w="9339" w:type="dxa"/>
            <w:gridSpan w:val="5"/>
            <w:vAlign w:val="center"/>
          </w:tcPr>
          <w:p w14:paraId="4A42EA9A" w14:textId="0C19DEBB" w:rsidR="00451294" w:rsidRPr="00FE38C1" w:rsidRDefault="00451294" w:rsidP="00FE38C1">
            <w:pPr>
              <w:pStyle w:val="af7"/>
              <w:jc w:val="center"/>
              <w:rPr>
                <w:b/>
              </w:rPr>
            </w:pPr>
            <w:r w:rsidRPr="00FE38C1">
              <w:rPr>
                <w:b/>
              </w:rPr>
              <w:t>Повышение доступности и качества жилья</w:t>
            </w:r>
          </w:p>
        </w:tc>
      </w:tr>
      <w:tr w:rsidR="00E3482E" w:rsidRPr="008F3BD4" w14:paraId="7F44F941" w14:textId="042EF795" w:rsidTr="00EE74F2">
        <w:trPr>
          <w:trHeight w:val="261"/>
        </w:trPr>
        <w:tc>
          <w:tcPr>
            <w:tcW w:w="4063" w:type="dxa"/>
            <w:vAlign w:val="center"/>
          </w:tcPr>
          <w:p w14:paraId="091E3D5C" w14:textId="0A5320AE" w:rsidR="00E3482E" w:rsidRPr="008F3BD4" w:rsidRDefault="00E3482E" w:rsidP="00FE38C1">
            <w:pPr>
              <w:pStyle w:val="af7"/>
            </w:pPr>
            <w:r w:rsidRPr="008F3BD4">
              <w:t>Обеспеченность жильем в среднем на одного жителя, кв.м общей площади</w:t>
            </w:r>
          </w:p>
        </w:tc>
        <w:tc>
          <w:tcPr>
            <w:tcW w:w="1296" w:type="dxa"/>
            <w:vAlign w:val="center"/>
          </w:tcPr>
          <w:p w14:paraId="402AD3B2" w14:textId="0C704F87" w:rsidR="00E3482E" w:rsidRPr="008F3BD4" w:rsidRDefault="00E3482E" w:rsidP="00FE38C1">
            <w:pPr>
              <w:pStyle w:val="af7"/>
              <w:jc w:val="center"/>
            </w:pPr>
            <w:r w:rsidRPr="008F3BD4">
              <w:t>14,6</w:t>
            </w:r>
          </w:p>
        </w:tc>
        <w:tc>
          <w:tcPr>
            <w:tcW w:w="1191" w:type="dxa"/>
            <w:vAlign w:val="center"/>
          </w:tcPr>
          <w:p w14:paraId="5F39EE87" w14:textId="779A0F4F" w:rsidR="00E3482E" w:rsidRPr="008F3BD4" w:rsidRDefault="00E3482E" w:rsidP="00FE38C1">
            <w:pPr>
              <w:pStyle w:val="af7"/>
              <w:jc w:val="center"/>
            </w:pPr>
            <w:r w:rsidRPr="008F3BD4">
              <w:t>15,2</w:t>
            </w:r>
          </w:p>
        </w:tc>
        <w:tc>
          <w:tcPr>
            <w:tcW w:w="1236" w:type="dxa"/>
            <w:vAlign w:val="center"/>
          </w:tcPr>
          <w:p w14:paraId="4C80ABA0" w14:textId="57F5FF97" w:rsidR="00E3482E" w:rsidRPr="008F3BD4" w:rsidRDefault="00E3482E" w:rsidP="00FE38C1">
            <w:pPr>
              <w:pStyle w:val="af7"/>
              <w:jc w:val="center"/>
            </w:pPr>
            <w:r w:rsidRPr="008F3BD4">
              <w:t>14,9</w:t>
            </w:r>
          </w:p>
        </w:tc>
        <w:tc>
          <w:tcPr>
            <w:tcW w:w="1553" w:type="dxa"/>
            <w:vAlign w:val="center"/>
          </w:tcPr>
          <w:p w14:paraId="18DCB63F" w14:textId="23FF949B" w:rsidR="00E3482E" w:rsidRPr="008F3BD4" w:rsidRDefault="00BB54C0" w:rsidP="00FE38C1">
            <w:pPr>
              <w:pStyle w:val="af7"/>
              <w:jc w:val="center"/>
            </w:pPr>
            <w:r w:rsidRPr="008F3BD4">
              <w:t>98,0%</w:t>
            </w:r>
          </w:p>
        </w:tc>
      </w:tr>
      <w:tr w:rsidR="00E3482E" w:rsidRPr="008F3BD4" w14:paraId="75AC9BF5" w14:textId="66483B51" w:rsidTr="00EE74F2">
        <w:trPr>
          <w:trHeight w:val="278"/>
        </w:trPr>
        <w:tc>
          <w:tcPr>
            <w:tcW w:w="4063" w:type="dxa"/>
            <w:vAlign w:val="center"/>
          </w:tcPr>
          <w:p w14:paraId="141B348B" w14:textId="32195887" w:rsidR="00E3482E" w:rsidRPr="008F3BD4" w:rsidRDefault="00E3482E" w:rsidP="00FE38C1">
            <w:pPr>
              <w:pStyle w:val="af7"/>
            </w:pPr>
            <w:r w:rsidRPr="008F3BD4">
              <w:t>Удельный вес площади ветхого и аварийного жилого фонда в общей жилой площади, %</w:t>
            </w:r>
          </w:p>
        </w:tc>
        <w:tc>
          <w:tcPr>
            <w:tcW w:w="1296" w:type="dxa"/>
            <w:vAlign w:val="center"/>
          </w:tcPr>
          <w:p w14:paraId="43AC7530" w14:textId="6F3FA3FA" w:rsidR="00E3482E" w:rsidRPr="008F3BD4" w:rsidRDefault="00E3482E" w:rsidP="00FE38C1">
            <w:pPr>
              <w:pStyle w:val="af7"/>
              <w:jc w:val="center"/>
            </w:pPr>
            <w:r w:rsidRPr="008F3BD4">
              <w:t>23,0</w:t>
            </w:r>
          </w:p>
        </w:tc>
        <w:tc>
          <w:tcPr>
            <w:tcW w:w="1191" w:type="dxa"/>
            <w:vAlign w:val="center"/>
          </w:tcPr>
          <w:p w14:paraId="1AFC0333" w14:textId="7782AA6C" w:rsidR="00E3482E" w:rsidRPr="008F3BD4" w:rsidRDefault="00E3482E" w:rsidP="00FE38C1">
            <w:pPr>
              <w:pStyle w:val="af7"/>
              <w:jc w:val="center"/>
            </w:pPr>
            <w:r w:rsidRPr="008F3BD4">
              <w:t>26,9</w:t>
            </w:r>
          </w:p>
        </w:tc>
        <w:tc>
          <w:tcPr>
            <w:tcW w:w="1236" w:type="dxa"/>
            <w:vAlign w:val="center"/>
          </w:tcPr>
          <w:p w14:paraId="51138A47" w14:textId="1BD348C9" w:rsidR="00E3482E" w:rsidRPr="008F3BD4" w:rsidRDefault="00E3482E" w:rsidP="00FE38C1">
            <w:pPr>
              <w:pStyle w:val="af7"/>
              <w:jc w:val="center"/>
            </w:pPr>
            <w:r w:rsidRPr="008F3BD4">
              <w:t>21,7</w:t>
            </w:r>
          </w:p>
        </w:tc>
        <w:tc>
          <w:tcPr>
            <w:tcW w:w="1553" w:type="dxa"/>
            <w:vAlign w:val="center"/>
          </w:tcPr>
          <w:p w14:paraId="7C18879C" w14:textId="68196CA5" w:rsidR="00E3482E" w:rsidRPr="00FE38C1" w:rsidRDefault="00F431AD" w:rsidP="00FE38C1">
            <w:pPr>
              <w:pStyle w:val="af7"/>
              <w:jc w:val="center"/>
              <w:rPr>
                <w:b/>
              </w:rPr>
            </w:pPr>
            <w:r w:rsidRPr="00FE38C1">
              <w:rPr>
                <w:b/>
                <w:color w:val="00B050"/>
              </w:rPr>
              <w:t>124,0%</w:t>
            </w:r>
          </w:p>
        </w:tc>
      </w:tr>
      <w:tr w:rsidR="00451294" w:rsidRPr="008F3BD4" w14:paraId="4B82A1A9" w14:textId="54176F2C" w:rsidTr="00EE74F2">
        <w:trPr>
          <w:trHeight w:val="261"/>
        </w:trPr>
        <w:tc>
          <w:tcPr>
            <w:tcW w:w="9339" w:type="dxa"/>
            <w:gridSpan w:val="5"/>
            <w:vAlign w:val="center"/>
          </w:tcPr>
          <w:p w14:paraId="2210BC6F" w14:textId="4070A387" w:rsidR="00451294" w:rsidRPr="00FE38C1" w:rsidRDefault="00451294" w:rsidP="00FE38C1">
            <w:pPr>
              <w:pStyle w:val="af7"/>
              <w:jc w:val="center"/>
              <w:rPr>
                <w:b/>
              </w:rPr>
            </w:pPr>
            <w:r w:rsidRPr="00FE38C1">
              <w:rPr>
                <w:b/>
              </w:rPr>
              <w:t>Жилищно-коммунальный комплекс</w:t>
            </w:r>
          </w:p>
        </w:tc>
      </w:tr>
      <w:tr w:rsidR="00E3482E" w:rsidRPr="008F3BD4" w14:paraId="63095D76" w14:textId="7719B2CE" w:rsidTr="00EE74F2">
        <w:trPr>
          <w:trHeight w:val="261"/>
        </w:trPr>
        <w:tc>
          <w:tcPr>
            <w:tcW w:w="4063" w:type="dxa"/>
            <w:vAlign w:val="center"/>
          </w:tcPr>
          <w:p w14:paraId="6D809F11" w14:textId="1DE1D674" w:rsidR="00E3482E" w:rsidRPr="008F3BD4" w:rsidRDefault="00E3482E" w:rsidP="00FE38C1">
            <w:pPr>
              <w:pStyle w:val="af7"/>
            </w:pPr>
            <w:r w:rsidRPr="008F3BD4">
              <w:t>Удельный вес площади жилищного фонда (в городской, сельской местности), оборудованного:</w:t>
            </w:r>
          </w:p>
        </w:tc>
        <w:tc>
          <w:tcPr>
            <w:tcW w:w="1296" w:type="dxa"/>
            <w:vAlign w:val="center"/>
          </w:tcPr>
          <w:p w14:paraId="02FBB9F3" w14:textId="77777777" w:rsidR="00E3482E" w:rsidRPr="008F3BD4" w:rsidRDefault="00E3482E" w:rsidP="00FE38C1">
            <w:pPr>
              <w:pStyle w:val="af7"/>
            </w:pPr>
          </w:p>
        </w:tc>
        <w:tc>
          <w:tcPr>
            <w:tcW w:w="1191" w:type="dxa"/>
            <w:vAlign w:val="center"/>
          </w:tcPr>
          <w:p w14:paraId="4D50E059" w14:textId="3233A989" w:rsidR="00E3482E" w:rsidRPr="008F3BD4" w:rsidRDefault="00E3482E" w:rsidP="00FE38C1">
            <w:pPr>
              <w:pStyle w:val="af7"/>
            </w:pPr>
          </w:p>
        </w:tc>
        <w:tc>
          <w:tcPr>
            <w:tcW w:w="1236" w:type="dxa"/>
            <w:vAlign w:val="center"/>
          </w:tcPr>
          <w:p w14:paraId="32BBA082" w14:textId="77777777" w:rsidR="00E3482E" w:rsidRPr="008F3BD4" w:rsidRDefault="00E3482E" w:rsidP="00FE38C1">
            <w:pPr>
              <w:pStyle w:val="af7"/>
            </w:pPr>
          </w:p>
        </w:tc>
        <w:tc>
          <w:tcPr>
            <w:tcW w:w="1553" w:type="dxa"/>
            <w:vAlign w:val="center"/>
          </w:tcPr>
          <w:p w14:paraId="2FED89CA" w14:textId="77777777" w:rsidR="00E3482E" w:rsidRPr="008F3BD4" w:rsidRDefault="00E3482E" w:rsidP="00FE38C1">
            <w:pPr>
              <w:pStyle w:val="af7"/>
            </w:pPr>
          </w:p>
        </w:tc>
      </w:tr>
      <w:tr w:rsidR="00E3482E" w:rsidRPr="008F3BD4" w14:paraId="285C51FF" w14:textId="46CBD516" w:rsidTr="00EE74F2">
        <w:trPr>
          <w:trHeight w:val="261"/>
        </w:trPr>
        <w:tc>
          <w:tcPr>
            <w:tcW w:w="4063" w:type="dxa"/>
            <w:vAlign w:val="center"/>
          </w:tcPr>
          <w:p w14:paraId="79536795" w14:textId="6F95764D" w:rsidR="00E3482E" w:rsidRPr="008F3BD4" w:rsidRDefault="00E3482E" w:rsidP="00FE38C1">
            <w:pPr>
              <w:pStyle w:val="af7"/>
            </w:pPr>
            <w:r w:rsidRPr="008F3BD4">
              <w:t>горячим водоснабжением, %</w:t>
            </w:r>
          </w:p>
        </w:tc>
        <w:tc>
          <w:tcPr>
            <w:tcW w:w="1296" w:type="dxa"/>
            <w:vAlign w:val="center"/>
          </w:tcPr>
          <w:p w14:paraId="7D0CC1D6" w14:textId="2FA4DB57" w:rsidR="00E3482E" w:rsidRPr="008F3BD4" w:rsidRDefault="00E3482E" w:rsidP="00FE38C1">
            <w:pPr>
              <w:pStyle w:val="af7"/>
              <w:jc w:val="center"/>
            </w:pPr>
            <w:r w:rsidRPr="008F3BD4">
              <w:t>87,4</w:t>
            </w:r>
          </w:p>
        </w:tc>
        <w:tc>
          <w:tcPr>
            <w:tcW w:w="1191" w:type="dxa"/>
            <w:vAlign w:val="center"/>
          </w:tcPr>
          <w:p w14:paraId="62EE1D35" w14:textId="3919CF85" w:rsidR="00E3482E" w:rsidRPr="008F3BD4" w:rsidRDefault="00E3482E" w:rsidP="00FE38C1">
            <w:pPr>
              <w:pStyle w:val="af7"/>
              <w:jc w:val="center"/>
            </w:pPr>
            <w:r w:rsidRPr="008F3BD4">
              <w:t>88,1</w:t>
            </w:r>
          </w:p>
        </w:tc>
        <w:tc>
          <w:tcPr>
            <w:tcW w:w="1236" w:type="dxa"/>
            <w:vAlign w:val="center"/>
          </w:tcPr>
          <w:p w14:paraId="63E37715" w14:textId="7709F455" w:rsidR="00E3482E" w:rsidRPr="008F3BD4" w:rsidRDefault="00E3482E" w:rsidP="00FE38C1">
            <w:pPr>
              <w:pStyle w:val="af7"/>
              <w:jc w:val="center"/>
            </w:pPr>
            <w:r w:rsidRPr="008F3BD4">
              <w:t>97,76</w:t>
            </w:r>
          </w:p>
        </w:tc>
        <w:tc>
          <w:tcPr>
            <w:tcW w:w="1553" w:type="dxa"/>
            <w:vAlign w:val="center"/>
          </w:tcPr>
          <w:p w14:paraId="14BA8A81" w14:textId="59021ECC" w:rsidR="00E3482E" w:rsidRPr="00FE38C1" w:rsidRDefault="004D36D5" w:rsidP="00FE38C1">
            <w:pPr>
              <w:pStyle w:val="af7"/>
              <w:jc w:val="center"/>
              <w:rPr>
                <w:b/>
              </w:rPr>
            </w:pPr>
            <w:r w:rsidRPr="00FE38C1">
              <w:rPr>
                <w:b/>
                <w:color w:val="00B050"/>
              </w:rPr>
              <w:t>111,0%</w:t>
            </w:r>
          </w:p>
        </w:tc>
      </w:tr>
      <w:tr w:rsidR="00E3482E" w:rsidRPr="008F3BD4" w14:paraId="66F2B09C" w14:textId="536044B7" w:rsidTr="00EE74F2">
        <w:trPr>
          <w:trHeight w:val="244"/>
        </w:trPr>
        <w:tc>
          <w:tcPr>
            <w:tcW w:w="4063" w:type="dxa"/>
            <w:vAlign w:val="center"/>
          </w:tcPr>
          <w:p w14:paraId="78C276A7" w14:textId="162AD583" w:rsidR="00E3482E" w:rsidRPr="008F3BD4" w:rsidRDefault="00E3482E" w:rsidP="00FE38C1">
            <w:pPr>
              <w:pStyle w:val="af7"/>
            </w:pPr>
            <w:r w:rsidRPr="008F3BD4">
              <w:t>центральным отоплением, %</w:t>
            </w:r>
          </w:p>
        </w:tc>
        <w:tc>
          <w:tcPr>
            <w:tcW w:w="1296" w:type="dxa"/>
            <w:vAlign w:val="center"/>
          </w:tcPr>
          <w:p w14:paraId="418E8325" w14:textId="627F5572" w:rsidR="00E3482E" w:rsidRPr="008F3BD4" w:rsidRDefault="00E3482E" w:rsidP="00FE38C1">
            <w:pPr>
              <w:pStyle w:val="af7"/>
              <w:jc w:val="center"/>
            </w:pPr>
            <w:r w:rsidRPr="008F3BD4">
              <w:t>98,4</w:t>
            </w:r>
          </w:p>
        </w:tc>
        <w:tc>
          <w:tcPr>
            <w:tcW w:w="1191" w:type="dxa"/>
            <w:vAlign w:val="center"/>
          </w:tcPr>
          <w:p w14:paraId="0A2A7FB1" w14:textId="2E3AEC52" w:rsidR="00E3482E" w:rsidRPr="008F3BD4" w:rsidRDefault="00E3482E" w:rsidP="00FE38C1">
            <w:pPr>
              <w:pStyle w:val="af7"/>
              <w:jc w:val="center"/>
            </w:pPr>
            <w:r w:rsidRPr="008F3BD4">
              <w:t>98,5</w:t>
            </w:r>
          </w:p>
        </w:tc>
        <w:tc>
          <w:tcPr>
            <w:tcW w:w="1236" w:type="dxa"/>
            <w:vAlign w:val="center"/>
          </w:tcPr>
          <w:p w14:paraId="1B715C68" w14:textId="627CB5E1" w:rsidR="00E3482E" w:rsidRPr="008F3BD4" w:rsidRDefault="00E3482E" w:rsidP="00FE38C1">
            <w:pPr>
              <w:pStyle w:val="af7"/>
              <w:jc w:val="center"/>
            </w:pPr>
            <w:r w:rsidRPr="008F3BD4">
              <w:t>97,7</w:t>
            </w:r>
          </w:p>
        </w:tc>
        <w:tc>
          <w:tcPr>
            <w:tcW w:w="1553" w:type="dxa"/>
            <w:vAlign w:val="center"/>
          </w:tcPr>
          <w:p w14:paraId="2F38EFC2" w14:textId="640C6CFB" w:rsidR="00E3482E" w:rsidRPr="008F3BD4" w:rsidRDefault="00936D9D" w:rsidP="00FE38C1">
            <w:pPr>
              <w:pStyle w:val="af7"/>
              <w:jc w:val="center"/>
            </w:pPr>
            <w:r w:rsidRPr="008F3BD4">
              <w:t>99,2%</w:t>
            </w:r>
          </w:p>
        </w:tc>
      </w:tr>
      <w:tr w:rsidR="00E3482E" w:rsidRPr="008F3BD4" w14:paraId="55326E66" w14:textId="36529FB2" w:rsidTr="00EE74F2">
        <w:trPr>
          <w:trHeight w:val="244"/>
        </w:trPr>
        <w:tc>
          <w:tcPr>
            <w:tcW w:w="4063" w:type="dxa"/>
            <w:vAlign w:val="center"/>
          </w:tcPr>
          <w:p w14:paraId="33715254" w14:textId="044DB6E5" w:rsidR="00E3482E" w:rsidRPr="008F3BD4" w:rsidRDefault="00E3482E" w:rsidP="00FE38C1">
            <w:pPr>
              <w:pStyle w:val="af7"/>
            </w:pPr>
            <w:r w:rsidRPr="008F3BD4">
              <w:t>канализацией, %</w:t>
            </w:r>
          </w:p>
        </w:tc>
        <w:tc>
          <w:tcPr>
            <w:tcW w:w="1296" w:type="dxa"/>
            <w:vAlign w:val="center"/>
          </w:tcPr>
          <w:p w14:paraId="1D70254D" w14:textId="49FDE322" w:rsidR="00E3482E" w:rsidRPr="008F3BD4" w:rsidRDefault="00E3482E" w:rsidP="00FE38C1">
            <w:pPr>
              <w:pStyle w:val="af7"/>
              <w:jc w:val="center"/>
            </w:pPr>
            <w:r w:rsidRPr="008F3BD4">
              <w:t>94,84</w:t>
            </w:r>
          </w:p>
        </w:tc>
        <w:tc>
          <w:tcPr>
            <w:tcW w:w="1191" w:type="dxa"/>
            <w:vAlign w:val="center"/>
          </w:tcPr>
          <w:p w14:paraId="7253CB11" w14:textId="2588D8D0" w:rsidR="00E3482E" w:rsidRPr="008F3BD4" w:rsidRDefault="00E3482E" w:rsidP="00FE38C1">
            <w:pPr>
              <w:pStyle w:val="af7"/>
              <w:jc w:val="center"/>
            </w:pPr>
            <w:r w:rsidRPr="008F3BD4">
              <w:t>95,1</w:t>
            </w:r>
          </w:p>
        </w:tc>
        <w:tc>
          <w:tcPr>
            <w:tcW w:w="1236" w:type="dxa"/>
            <w:vAlign w:val="center"/>
          </w:tcPr>
          <w:p w14:paraId="13A2520D" w14:textId="69C6CDB0" w:rsidR="00E3482E" w:rsidRPr="008F3BD4" w:rsidRDefault="00E3482E" w:rsidP="00FE38C1">
            <w:pPr>
              <w:pStyle w:val="af7"/>
              <w:jc w:val="center"/>
            </w:pPr>
            <w:r w:rsidRPr="008F3BD4">
              <w:t>94,86</w:t>
            </w:r>
          </w:p>
        </w:tc>
        <w:tc>
          <w:tcPr>
            <w:tcW w:w="1553" w:type="dxa"/>
            <w:vAlign w:val="center"/>
          </w:tcPr>
          <w:p w14:paraId="1AC54EAD" w14:textId="4BBDB785" w:rsidR="00E3482E" w:rsidRPr="008F3BD4" w:rsidRDefault="00936D9D" w:rsidP="00FE38C1">
            <w:pPr>
              <w:pStyle w:val="af7"/>
              <w:jc w:val="center"/>
            </w:pPr>
            <w:r w:rsidRPr="008F3BD4">
              <w:t>99,7%</w:t>
            </w:r>
          </w:p>
        </w:tc>
      </w:tr>
      <w:tr w:rsidR="00E3482E" w:rsidRPr="008F3BD4" w14:paraId="6205D2EE" w14:textId="1E68029D" w:rsidTr="00EE74F2">
        <w:trPr>
          <w:trHeight w:val="244"/>
        </w:trPr>
        <w:tc>
          <w:tcPr>
            <w:tcW w:w="4063" w:type="dxa"/>
            <w:vAlign w:val="center"/>
          </w:tcPr>
          <w:p w14:paraId="0D8CFA06" w14:textId="73A9A889" w:rsidR="00E3482E" w:rsidRPr="008F3BD4" w:rsidRDefault="00E3482E" w:rsidP="00FE38C1">
            <w:pPr>
              <w:pStyle w:val="af7"/>
            </w:pPr>
            <w:r w:rsidRPr="008F3BD4">
              <w:t>Доля отремонтированных тепловых сетей от общей протяженности сетей, %</w:t>
            </w:r>
          </w:p>
        </w:tc>
        <w:tc>
          <w:tcPr>
            <w:tcW w:w="1296" w:type="dxa"/>
            <w:vAlign w:val="center"/>
          </w:tcPr>
          <w:p w14:paraId="74607086" w14:textId="192421E7" w:rsidR="00E3482E" w:rsidRPr="008F3BD4" w:rsidRDefault="00E3482E" w:rsidP="00FE38C1">
            <w:pPr>
              <w:pStyle w:val="af7"/>
              <w:jc w:val="center"/>
            </w:pPr>
            <w:r w:rsidRPr="008F3BD4">
              <w:t>5,0</w:t>
            </w:r>
          </w:p>
        </w:tc>
        <w:tc>
          <w:tcPr>
            <w:tcW w:w="1191" w:type="dxa"/>
            <w:vAlign w:val="center"/>
          </w:tcPr>
          <w:p w14:paraId="32C9B54C" w14:textId="0BBF56D7" w:rsidR="00E3482E" w:rsidRPr="008F3BD4" w:rsidRDefault="00E3482E" w:rsidP="00FE38C1">
            <w:pPr>
              <w:pStyle w:val="af7"/>
              <w:jc w:val="center"/>
            </w:pPr>
            <w:r w:rsidRPr="008F3BD4">
              <w:t>5,0</w:t>
            </w:r>
          </w:p>
        </w:tc>
        <w:tc>
          <w:tcPr>
            <w:tcW w:w="1236" w:type="dxa"/>
            <w:vAlign w:val="center"/>
          </w:tcPr>
          <w:p w14:paraId="7F3CFEBF" w14:textId="1BE52969" w:rsidR="00E3482E" w:rsidRPr="008F3BD4" w:rsidRDefault="00E3482E" w:rsidP="00FE38C1">
            <w:pPr>
              <w:pStyle w:val="af7"/>
              <w:jc w:val="center"/>
            </w:pPr>
            <w:r w:rsidRPr="008F3BD4">
              <w:t>5,05</w:t>
            </w:r>
          </w:p>
        </w:tc>
        <w:tc>
          <w:tcPr>
            <w:tcW w:w="1553" w:type="dxa"/>
            <w:vAlign w:val="center"/>
          </w:tcPr>
          <w:p w14:paraId="17390A9E" w14:textId="7A90F1B6" w:rsidR="00E3482E" w:rsidRPr="00FE38C1" w:rsidRDefault="00E4771E" w:rsidP="00FE38C1">
            <w:pPr>
              <w:pStyle w:val="af7"/>
              <w:jc w:val="center"/>
              <w:rPr>
                <w:b/>
              </w:rPr>
            </w:pPr>
            <w:r w:rsidRPr="00FE38C1">
              <w:rPr>
                <w:b/>
                <w:color w:val="00B050"/>
              </w:rPr>
              <w:t>101,0%</w:t>
            </w:r>
          </w:p>
        </w:tc>
      </w:tr>
      <w:tr w:rsidR="00E3482E" w:rsidRPr="008F3BD4" w14:paraId="658DB446" w14:textId="0259111D" w:rsidTr="00EE74F2">
        <w:trPr>
          <w:trHeight w:val="244"/>
        </w:trPr>
        <w:tc>
          <w:tcPr>
            <w:tcW w:w="4063" w:type="dxa"/>
            <w:vAlign w:val="center"/>
          </w:tcPr>
          <w:p w14:paraId="76D900D4" w14:textId="593CBA10" w:rsidR="00E3482E" w:rsidRPr="008F3BD4" w:rsidRDefault="00E3482E" w:rsidP="00FE38C1">
            <w:pPr>
              <w:pStyle w:val="af7"/>
            </w:pPr>
            <w:r w:rsidRPr="008F3BD4">
              <w:t>Доля отремонтированных водопроводных сетей от общей протяженности сетей, %</w:t>
            </w:r>
          </w:p>
        </w:tc>
        <w:tc>
          <w:tcPr>
            <w:tcW w:w="1296" w:type="dxa"/>
            <w:vAlign w:val="center"/>
          </w:tcPr>
          <w:p w14:paraId="7E01C357" w14:textId="781CA844" w:rsidR="00E3482E" w:rsidRPr="008F3BD4" w:rsidRDefault="00E3482E" w:rsidP="00FE38C1">
            <w:pPr>
              <w:pStyle w:val="af7"/>
              <w:jc w:val="center"/>
            </w:pPr>
            <w:r w:rsidRPr="008F3BD4">
              <w:t>3,5</w:t>
            </w:r>
          </w:p>
        </w:tc>
        <w:tc>
          <w:tcPr>
            <w:tcW w:w="1191" w:type="dxa"/>
            <w:vAlign w:val="center"/>
          </w:tcPr>
          <w:p w14:paraId="24AFEA67" w14:textId="467320AA" w:rsidR="00E3482E" w:rsidRPr="008F3BD4" w:rsidRDefault="00E3482E" w:rsidP="00FE38C1">
            <w:pPr>
              <w:pStyle w:val="af7"/>
              <w:jc w:val="center"/>
            </w:pPr>
            <w:r w:rsidRPr="008F3BD4">
              <w:t>5,0</w:t>
            </w:r>
          </w:p>
        </w:tc>
        <w:tc>
          <w:tcPr>
            <w:tcW w:w="1236" w:type="dxa"/>
            <w:vAlign w:val="center"/>
          </w:tcPr>
          <w:p w14:paraId="0BC02665" w14:textId="6073A7AF" w:rsidR="00E3482E" w:rsidRPr="008F3BD4" w:rsidRDefault="00E3482E" w:rsidP="00FE38C1">
            <w:pPr>
              <w:pStyle w:val="af7"/>
              <w:jc w:val="center"/>
            </w:pPr>
            <w:r w:rsidRPr="008F3BD4">
              <w:t>4,0</w:t>
            </w:r>
          </w:p>
        </w:tc>
        <w:tc>
          <w:tcPr>
            <w:tcW w:w="1553" w:type="dxa"/>
            <w:vAlign w:val="center"/>
          </w:tcPr>
          <w:p w14:paraId="2DF2447A" w14:textId="01BBACD0" w:rsidR="00E3482E" w:rsidRPr="008F3BD4" w:rsidRDefault="00E4771E" w:rsidP="00FE38C1">
            <w:pPr>
              <w:pStyle w:val="af7"/>
              <w:jc w:val="center"/>
            </w:pPr>
            <w:r w:rsidRPr="008F3BD4">
              <w:t>80,0%</w:t>
            </w:r>
          </w:p>
        </w:tc>
      </w:tr>
      <w:tr w:rsidR="00E3482E" w:rsidRPr="008F3BD4" w14:paraId="3C72BFE3" w14:textId="4239C5FA" w:rsidTr="00EE74F2">
        <w:trPr>
          <w:trHeight w:val="244"/>
        </w:trPr>
        <w:tc>
          <w:tcPr>
            <w:tcW w:w="4063" w:type="dxa"/>
            <w:vAlign w:val="center"/>
          </w:tcPr>
          <w:p w14:paraId="3428B5B3" w14:textId="60E9CFBE" w:rsidR="00E3482E" w:rsidRPr="008F3BD4" w:rsidRDefault="00E3482E" w:rsidP="00FE38C1">
            <w:pPr>
              <w:pStyle w:val="af7"/>
            </w:pPr>
            <w:r w:rsidRPr="008F3BD4">
              <w:t>Доля отремонтированных канализационных сетей от общей протяженности сетей, %</w:t>
            </w:r>
          </w:p>
        </w:tc>
        <w:tc>
          <w:tcPr>
            <w:tcW w:w="1296" w:type="dxa"/>
            <w:vAlign w:val="center"/>
          </w:tcPr>
          <w:p w14:paraId="18CF61A8" w14:textId="2E449C12" w:rsidR="00E3482E" w:rsidRPr="008F3BD4" w:rsidRDefault="00E3482E" w:rsidP="00FE38C1">
            <w:pPr>
              <w:pStyle w:val="af7"/>
              <w:jc w:val="center"/>
            </w:pPr>
            <w:r w:rsidRPr="008F3BD4">
              <w:t>0,0</w:t>
            </w:r>
          </w:p>
        </w:tc>
        <w:tc>
          <w:tcPr>
            <w:tcW w:w="1191" w:type="dxa"/>
            <w:vAlign w:val="center"/>
          </w:tcPr>
          <w:p w14:paraId="66E22466" w14:textId="49B8FA31" w:rsidR="00E3482E" w:rsidRPr="008F3BD4" w:rsidRDefault="00E3482E" w:rsidP="00FE38C1">
            <w:pPr>
              <w:pStyle w:val="af7"/>
              <w:jc w:val="center"/>
            </w:pPr>
            <w:r w:rsidRPr="008F3BD4">
              <w:t>5,0</w:t>
            </w:r>
          </w:p>
        </w:tc>
        <w:tc>
          <w:tcPr>
            <w:tcW w:w="1236" w:type="dxa"/>
            <w:vAlign w:val="center"/>
          </w:tcPr>
          <w:p w14:paraId="0C9B4A01" w14:textId="4FF4E0E1" w:rsidR="00E3482E" w:rsidRPr="008F3BD4" w:rsidRDefault="00E3482E" w:rsidP="00FE38C1">
            <w:pPr>
              <w:pStyle w:val="af7"/>
              <w:jc w:val="center"/>
            </w:pPr>
            <w:r w:rsidRPr="008F3BD4">
              <w:t>0,25</w:t>
            </w:r>
          </w:p>
        </w:tc>
        <w:tc>
          <w:tcPr>
            <w:tcW w:w="1553" w:type="dxa"/>
            <w:vAlign w:val="center"/>
          </w:tcPr>
          <w:p w14:paraId="3D6CE781" w14:textId="17E15FC3" w:rsidR="00E3482E" w:rsidRPr="008F3BD4" w:rsidRDefault="00E4771E" w:rsidP="00FE38C1">
            <w:pPr>
              <w:pStyle w:val="af7"/>
              <w:jc w:val="center"/>
            </w:pPr>
            <w:r w:rsidRPr="008F3BD4">
              <w:t>5,0%</w:t>
            </w:r>
          </w:p>
        </w:tc>
      </w:tr>
      <w:tr w:rsidR="0052793F" w:rsidRPr="008F3BD4" w14:paraId="3485D654" w14:textId="15FA17FB" w:rsidTr="00EE74F2">
        <w:trPr>
          <w:trHeight w:val="244"/>
        </w:trPr>
        <w:tc>
          <w:tcPr>
            <w:tcW w:w="9339" w:type="dxa"/>
            <w:gridSpan w:val="5"/>
            <w:vAlign w:val="center"/>
          </w:tcPr>
          <w:p w14:paraId="3676C30A" w14:textId="57F7C8AF" w:rsidR="0052793F" w:rsidRPr="00BE704A" w:rsidRDefault="0031005E" w:rsidP="00FE38C1">
            <w:pPr>
              <w:pStyle w:val="af7"/>
            </w:pPr>
            <w:r w:rsidRPr="00BE704A">
              <w:t>Образование</w:t>
            </w:r>
          </w:p>
        </w:tc>
      </w:tr>
      <w:tr w:rsidR="0031005E" w:rsidRPr="008F3BD4" w14:paraId="0017E956" w14:textId="77777777" w:rsidTr="00EE74F2">
        <w:trPr>
          <w:trHeight w:val="244"/>
        </w:trPr>
        <w:tc>
          <w:tcPr>
            <w:tcW w:w="4063" w:type="dxa"/>
            <w:vAlign w:val="center"/>
          </w:tcPr>
          <w:p w14:paraId="10A888DB" w14:textId="556D6DF5" w:rsidR="0031005E" w:rsidRPr="008F3BD4" w:rsidRDefault="0031005E" w:rsidP="00FE38C1">
            <w:pPr>
              <w:pStyle w:val="af7"/>
            </w:pPr>
            <w:r w:rsidRPr="008F3BD4">
              <w:t>Доля общеобразовательных организаций, соответствующих современным требованиям обучения, в общем количестве общеобразовательных организаций, %</w:t>
            </w:r>
          </w:p>
        </w:tc>
        <w:tc>
          <w:tcPr>
            <w:tcW w:w="1296" w:type="dxa"/>
            <w:vAlign w:val="center"/>
          </w:tcPr>
          <w:p w14:paraId="2C96EB04" w14:textId="7AF86BD7" w:rsidR="0031005E" w:rsidRPr="008F3BD4" w:rsidRDefault="0031005E" w:rsidP="00FE38C1">
            <w:pPr>
              <w:pStyle w:val="af7"/>
              <w:jc w:val="center"/>
            </w:pPr>
            <w:r w:rsidRPr="008F3BD4">
              <w:t>88,9</w:t>
            </w:r>
          </w:p>
        </w:tc>
        <w:tc>
          <w:tcPr>
            <w:tcW w:w="1191" w:type="dxa"/>
            <w:vAlign w:val="center"/>
          </w:tcPr>
          <w:p w14:paraId="34C2BE70" w14:textId="79DB5AA1" w:rsidR="0031005E" w:rsidRPr="008F3BD4" w:rsidRDefault="0031005E" w:rsidP="00FE38C1">
            <w:pPr>
              <w:pStyle w:val="af7"/>
              <w:jc w:val="center"/>
            </w:pPr>
            <w:r w:rsidRPr="008F3BD4">
              <w:t>88,9</w:t>
            </w:r>
          </w:p>
        </w:tc>
        <w:tc>
          <w:tcPr>
            <w:tcW w:w="1236" w:type="dxa"/>
            <w:vAlign w:val="center"/>
          </w:tcPr>
          <w:p w14:paraId="2E109B31" w14:textId="3EDEC452" w:rsidR="0031005E" w:rsidRPr="008F3BD4" w:rsidRDefault="0031005E" w:rsidP="00FE38C1">
            <w:pPr>
              <w:pStyle w:val="af7"/>
              <w:jc w:val="center"/>
            </w:pPr>
            <w:r w:rsidRPr="008F3BD4">
              <w:t>88,9</w:t>
            </w:r>
          </w:p>
        </w:tc>
        <w:tc>
          <w:tcPr>
            <w:tcW w:w="1553" w:type="dxa"/>
            <w:vAlign w:val="center"/>
          </w:tcPr>
          <w:p w14:paraId="4E1E6BBC" w14:textId="0BA7BC54" w:rsidR="0031005E" w:rsidRPr="00FE38C1" w:rsidRDefault="0031005E" w:rsidP="00FE38C1">
            <w:pPr>
              <w:pStyle w:val="af7"/>
              <w:jc w:val="center"/>
              <w:rPr>
                <w:b/>
                <w:color w:val="00B050"/>
              </w:rPr>
            </w:pPr>
            <w:r w:rsidRPr="00FE38C1">
              <w:rPr>
                <w:b/>
                <w:color w:val="00B050"/>
              </w:rPr>
              <w:t>100</w:t>
            </w:r>
            <w:r w:rsidR="008366AB" w:rsidRPr="00FE38C1">
              <w:rPr>
                <w:b/>
                <w:color w:val="00B050"/>
              </w:rPr>
              <w:t>,0</w:t>
            </w:r>
            <w:r w:rsidRPr="00FE38C1">
              <w:rPr>
                <w:b/>
                <w:color w:val="00B050"/>
              </w:rPr>
              <w:t>%</w:t>
            </w:r>
          </w:p>
        </w:tc>
      </w:tr>
      <w:tr w:rsidR="0031005E" w:rsidRPr="008F3BD4" w14:paraId="31778362" w14:textId="77777777" w:rsidTr="00EE74F2">
        <w:trPr>
          <w:trHeight w:val="244"/>
        </w:trPr>
        <w:tc>
          <w:tcPr>
            <w:tcW w:w="4063" w:type="dxa"/>
            <w:vAlign w:val="center"/>
          </w:tcPr>
          <w:p w14:paraId="750B58CD" w14:textId="77777777" w:rsidR="0031005E" w:rsidRPr="008F3BD4" w:rsidRDefault="0031005E" w:rsidP="00FE38C1">
            <w:pPr>
              <w:pStyle w:val="af7"/>
            </w:pPr>
            <w:r w:rsidRPr="008F3BD4">
              <w:t>Отношение среднемесячной заработной платы педагогических работников общеобразовательных</w:t>
            </w:r>
          </w:p>
          <w:p w14:paraId="4C4EE637" w14:textId="4F5AA5E2" w:rsidR="0031005E" w:rsidRPr="008F3BD4" w:rsidRDefault="0031005E" w:rsidP="00FE38C1">
            <w:pPr>
              <w:pStyle w:val="af7"/>
            </w:pPr>
            <w:r w:rsidRPr="008F3BD4">
              <w:t>организаций к среднемесячной заработной плате в регионе, %</w:t>
            </w:r>
          </w:p>
        </w:tc>
        <w:tc>
          <w:tcPr>
            <w:tcW w:w="1296" w:type="dxa"/>
            <w:vAlign w:val="center"/>
          </w:tcPr>
          <w:p w14:paraId="09E2B722" w14:textId="3F1D0143" w:rsidR="0031005E" w:rsidRPr="008F3BD4" w:rsidRDefault="0031005E" w:rsidP="00FE38C1">
            <w:pPr>
              <w:pStyle w:val="af7"/>
              <w:jc w:val="center"/>
            </w:pPr>
            <w:r w:rsidRPr="008F3BD4">
              <w:t>100,0</w:t>
            </w:r>
          </w:p>
        </w:tc>
        <w:tc>
          <w:tcPr>
            <w:tcW w:w="1191" w:type="dxa"/>
            <w:vAlign w:val="center"/>
          </w:tcPr>
          <w:p w14:paraId="59983D16" w14:textId="56C6453A" w:rsidR="0031005E" w:rsidRPr="008F3BD4" w:rsidRDefault="0031005E" w:rsidP="00FE38C1">
            <w:pPr>
              <w:pStyle w:val="af7"/>
              <w:jc w:val="center"/>
            </w:pPr>
            <w:r w:rsidRPr="008F3BD4">
              <w:t>100,0</w:t>
            </w:r>
          </w:p>
        </w:tc>
        <w:tc>
          <w:tcPr>
            <w:tcW w:w="1236" w:type="dxa"/>
            <w:vAlign w:val="center"/>
          </w:tcPr>
          <w:p w14:paraId="406C5580" w14:textId="0F5AA368" w:rsidR="0031005E" w:rsidRPr="008F3BD4" w:rsidRDefault="0031005E" w:rsidP="00FE38C1">
            <w:pPr>
              <w:pStyle w:val="af7"/>
              <w:jc w:val="center"/>
            </w:pPr>
            <w:r w:rsidRPr="008F3BD4">
              <w:t>100,0</w:t>
            </w:r>
          </w:p>
        </w:tc>
        <w:tc>
          <w:tcPr>
            <w:tcW w:w="1553" w:type="dxa"/>
            <w:vAlign w:val="center"/>
          </w:tcPr>
          <w:p w14:paraId="1718E78B" w14:textId="3CF0A102" w:rsidR="0031005E" w:rsidRPr="00FE38C1" w:rsidRDefault="0031005E" w:rsidP="00FE38C1">
            <w:pPr>
              <w:pStyle w:val="af7"/>
              <w:jc w:val="center"/>
              <w:rPr>
                <w:b/>
                <w:color w:val="00B050"/>
              </w:rPr>
            </w:pPr>
            <w:r w:rsidRPr="00FE38C1">
              <w:rPr>
                <w:b/>
                <w:color w:val="00B050"/>
              </w:rPr>
              <w:t>100</w:t>
            </w:r>
            <w:r w:rsidR="008366AB" w:rsidRPr="00FE38C1">
              <w:rPr>
                <w:b/>
                <w:color w:val="00B050"/>
              </w:rPr>
              <w:t>,0</w:t>
            </w:r>
            <w:r w:rsidRPr="00FE38C1">
              <w:rPr>
                <w:b/>
                <w:color w:val="00B050"/>
              </w:rPr>
              <w:t>%</w:t>
            </w:r>
          </w:p>
        </w:tc>
      </w:tr>
      <w:tr w:rsidR="0031005E" w:rsidRPr="008F3BD4" w14:paraId="1E0D7581" w14:textId="77777777" w:rsidTr="00EE74F2">
        <w:trPr>
          <w:trHeight w:val="244"/>
        </w:trPr>
        <w:tc>
          <w:tcPr>
            <w:tcW w:w="9339" w:type="dxa"/>
            <w:gridSpan w:val="5"/>
            <w:vAlign w:val="center"/>
          </w:tcPr>
          <w:p w14:paraId="5D3D91C1" w14:textId="273BB463" w:rsidR="0031005E" w:rsidRPr="00FE38C1" w:rsidRDefault="0031005E" w:rsidP="00FE38C1">
            <w:pPr>
              <w:pStyle w:val="af7"/>
              <w:jc w:val="center"/>
              <w:rPr>
                <w:b/>
              </w:rPr>
            </w:pPr>
            <w:r w:rsidRPr="00FE38C1">
              <w:rPr>
                <w:b/>
              </w:rPr>
              <w:t>Культура</w:t>
            </w:r>
          </w:p>
        </w:tc>
      </w:tr>
      <w:tr w:rsidR="0031005E" w:rsidRPr="008F3BD4" w14:paraId="6923E32A" w14:textId="77777777" w:rsidTr="00EE74F2">
        <w:trPr>
          <w:trHeight w:val="743"/>
        </w:trPr>
        <w:tc>
          <w:tcPr>
            <w:tcW w:w="4063" w:type="dxa"/>
            <w:vAlign w:val="center"/>
          </w:tcPr>
          <w:p w14:paraId="0A0F0754" w14:textId="2FAD6A97" w:rsidR="0031005E" w:rsidRPr="008F3BD4" w:rsidRDefault="0031005E" w:rsidP="00FE38C1">
            <w:pPr>
              <w:pStyle w:val="af7"/>
              <w:rPr>
                <w:rFonts w:eastAsia="Times New Roman"/>
                <w:color w:val="000000"/>
              </w:rPr>
            </w:pPr>
            <w:r w:rsidRPr="008F3BD4">
              <w:t>Доля населения, участвующего в массовых культурно-досуговых мероприятиях, проводимых в рамках Программы, %</w:t>
            </w:r>
          </w:p>
        </w:tc>
        <w:tc>
          <w:tcPr>
            <w:tcW w:w="1296" w:type="dxa"/>
            <w:vAlign w:val="center"/>
          </w:tcPr>
          <w:p w14:paraId="7D98DECE" w14:textId="54B73C85" w:rsidR="0031005E" w:rsidRPr="008F3BD4" w:rsidRDefault="00BC62EE" w:rsidP="00FE38C1">
            <w:pPr>
              <w:pStyle w:val="af7"/>
              <w:jc w:val="center"/>
            </w:pPr>
            <w:r w:rsidRPr="008F3BD4">
              <w:t>46,</w:t>
            </w:r>
            <w:r w:rsidR="0031005E" w:rsidRPr="008F3BD4">
              <w:t>3</w:t>
            </w:r>
          </w:p>
        </w:tc>
        <w:tc>
          <w:tcPr>
            <w:tcW w:w="1191" w:type="dxa"/>
            <w:vAlign w:val="center"/>
          </w:tcPr>
          <w:p w14:paraId="6CA87500" w14:textId="46F5D152" w:rsidR="0031005E" w:rsidRPr="008F3BD4" w:rsidRDefault="0031005E" w:rsidP="00FE38C1">
            <w:pPr>
              <w:pStyle w:val="af7"/>
              <w:jc w:val="center"/>
            </w:pPr>
            <w:r w:rsidRPr="008F3BD4">
              <w:t>45,1</w:t>
            </w:r>
          </w:p>
        </w:tc>
        <w:tc>
          <w:tcPr>
            <w:tcW w:w="1236" w:type="dxa"/>
            <w:vAlign w:val="center"/>
          </w:tcPr>
          <w:p w14:paraId="159D7E0F" w14:textId="5F6C0889" w:rsidR="0031005E" w:rsidRPr="008F3BD4" w:rsidRDefault="0031005E" w:rsidP="00FE38C1">
            <w:pPr>
              <w:pStyle w:val="af7"/>
              <w:jc w:val="center"/>
            </w:pPr>
            <w:r w:rsidRPr="008F3BD4">
              <w:t>48,8</w:t>
            </w:r>
          </w:p>
        </w:tc>
        <w:tc>
          <w:tcPr>
            <w:tcW w:w="1553" w:type="dxa"/>
            <w:vAlign w:val="center"/>
          </w:tcPr>
          <w:p w14:paraId="55F9BF11" w14:textId="1BE1853C" w:rsidR="0031005E" w:rsidRPr="00FE38C1" w:rsidRDefault="007D6DB5" w:rsidP="00FE38C1">
            <w:pPr>
              <w:pStyle w:val="af7"/>
              <w:jc w:val="center"/>
              <w:rPr>
                <w:b/>
              </w:rPr>
            </w:pPr>
            <w:r w:rsidRPr="00FE38C1">
              <w:rPr>
                <w:b/>
                <w:color w:val="00B050"/>
              </w:rPr>
              <w:t>108,</w:t>
            </w:r>
            <w:r w:rsidR="0031005E" w:rsidRPr="00FE38C1">
              <w:rPr>
                <w:b/>
                <w:color w:val="00B050"/>
              </w:rPr>
              <w:t>2%</w:t>
            </w:r>
          </w:p>
        </w:tc>
      </w:tr>
      <w:tr w:rsidR="0031005E" w:rsidRPr="008F3BD4" w14:paraId="6869DAC4" w14:textId="77777777" w:rsidTr="00EE74F2">
        <w:trPr>
          <w:trHeight w:val="225"/>
        </w:trPr>
        <w:tc>
          <w:tcPr>
            <w:tcW w:w="9339" w:type="dxa"/>
            <w:gridSpan w:val="5"/>
            <w:vAlign w:val="center"/>
          </w:tcPr>
          <w:p w14:paraId="18073ADC" w14:textId="475FC5CD" w:rsidR="0031005E" w:rsidRPr="00FE38C1" w:rsidRDefault="0031005E" w:rsidP="00FE38C1">
            <w:pPr>
              <w:pStyle w:val="af7"/>
              <w:jc w:val="center"/>
              <w:rPr>
                <w:b/>
              </w:rPr>
            </w:pPr>
            <w:r w:rsidRPr="00FE38C1">
              <w:rPr>
                <w:b/>
              </w:rPr>
              <w:t>Физическая культура и спорт</w:t>
            </w:r>
          </w:p>
        </w:tc>
      </w:tr>
      <w:tr w:rsidR="0031005E" w:rsidRPr="008F3BD4" w14:paraId="2007B1E3" w14:textId="77777777" w:rsidTr="00EE74F2">
        <w:trPr>
          <w:trHeight w:val="715"/>
        </w:trPr>
        <w:tc>
          <w:tcPr>
            <w:tcW w:w="4063" w:type="dxa"/>
            <w:vAlign w:val="center"/>
          </w:tcPr>
          <w:p w14:paraId="77CF4D73" w14:textId="1FB81C51" w:rsidR="0031005E" w:rsidRPr="008F3BD4" w:rsidRDefault="0031005E" w:rsidP="00FE38C1">
            <w:pPr>
              <w:pStyle w:val="af7"/>
              <w:rPr>
                <w:rFonts w:eastAsia="Times New Roman"/>
                <w:color w:val="000000"/>
              </w:rPr>
            </w:pPr>
            <w:r w:rsidRPr="008F3BD4">
              <w:lastRenderedPageBreak/>
              <w:t>Доля населения, систематически занимающегося физической культурой и спортом, в общей численности населения, %</w:t>
            </w:r>
          </w:p>
        </w:tc>
        <w:tc>
          <w:tcPr>
            <w:tcW w:w="1296" w:type="dxa"/>
            <w:vAlign w:val="center"/>
          </w:tcPr>
          <w:p w14:paraId="66DB2B50" w14:textId="6231BB93" w:rsidR="0031005E" w:rsidRPr="008F3BD4" w:rsidRDefault="00BC62EE" w:rsidP="00FE38C1">
            <w:pPr>
              <w:pStyle w:val="af7"/>
              <w:jc w:val="center"/>
            </w:pPr>
            <w:r w:rsidRPr="008F3BD4">
              <w:t>28,</w:t>
            </w:r>
            <w:r w:rsidR="0031005E" w:rsidRPr="008F3BD4">
              <w:t>3</w:t>
            </w:r>
          </w:p>
        </w:tc>
        <w:tc>
          <w:tcPr>
            <w:tcW w:w="1191" w:type="dxa"/>
            <w:vAlign w:val="center"/>
          </w:tcPr>
          <w:p w14:paraId="011983B1" w14:textId="79E684D2" w:rsidR="0031005E" w:rsidRPr="008F3BD4" w:rsidRDefault="00BC62EE" w:rsidP="00FE38C1">
            <w:pPr>
              <w:pStyle w:val="af7"/>
              <w:jc w:val="center"/>
            </w:pPr>
            <w:r w:rsidRPr="008F3BD4">
              <w:t>33,</w:t>
            </w:r>
            <w:r w:rsidR="0031005E" w:rsidRPr="008F3BD4">
              <w:t>3</w:t>
            </w:r>
          </w:p>
        </w:tc>
        <w:tc>
          <w:tcPr>
            <w:tcW w:w="1236" w:type="dxa"/>
            <w:vAlign w:val="center"/>
          </w:tcPr>
          <w:p w14:paraId="4ADDD8CB" w14:textId="74C29884" w:rsidR="0031005E" w:rsidRPr="008F3BD4" w:rsidRDefault="00BC62EE" w:rsidP="00FE38C1">
            <w:pPr>
              <w:pStyle w:val="af7"/>
              <w:jc w:val="center"/>
            </w:pPr>
            <w:r w:rsidRPr="008F3BD4">
              <w:t>34,</w:t>
            </w:r>
            <w:r w:rsidR="0031005E" w:rsidRPr="008F3BD4">
              <w:t>07</w:t>
            </w:r>
          </w:p>
        </w:tc>
        <w:tc>
          <w:tcPr>
            <w:tcW w:w="1553" w:type="dxa"/>
            <w:vAlign w:val="center"/>
          </w:tcPr>
          <w:p w14:paraId="3BD2C621" w14:textId="4BA8C4C3" w:rsidR="0031005E" w:rsidRPr="00FE38C1" w:rsidRDefault="007D6DB5" w:rsidP="00FE38C1">
            <w:pPr>
              <w:pStyle w:val="af7"/>
              <w:jc w:val="center"/>
              <w:rPr>
                <w:b/>
              </w:rPr>
            </w:pPr>
            <w:r w:rsidRPr="00FE38C1">
              <w:rPr>
                <w:b/>
                <w:color w:val="00B050"/>
              </w:rPr>
              <w:t>102,</w:t>
            </w:r>
            <w:r w:rsidR="0031005E" w:rsidRPr="00FE38C1">
              <w:rPr>
                <w:b/>
                <w:color w:val="00B050"/>
              </w:rPr>
              <w:t>3%</w:t>
            </w:r>
          </w:p>
        </w:tc>
      </w:tr>
      <w:tr w:rsidR="0031005E" w:rsidRPr="008F3BD4" w14:paraId="716FFF5C" w14:textId="77777777" w:rsidTr="00EE74F2">
        <w:trPr>
          <w:trHeight w:val="225"/>
        </w:trPr>
        <w:tc>
          <w:tcPr>
            <w:tcW w:w="9339" w:type="dxa"/>
            <w:gridSpan w:val="5"/>
            <w:vAlign w:val="center"/>
          </w:tcPr>
          <w:p w14:paraId="7BCFE423" w14:textId="2A212A93" w:rsidR="0031005E" w:rsidRPr="00FE38C1" w:rsidRDefault="0031005E" w:rsidP="00FE38C1">
            <w:pPr>
              <w:pStyle w:val="af7"/>
              <w:jc w:val="center"/>
              <w:rPr>
                <w:b/>
              </w:rPr>
            </w:pPr>
            <w:r w:rsidRPr="00FE38C1">
              <w:rPr>
                <w:b/>
              </w:rPr>
              <w:t>Социальная поддержка</w:t>
            </w:r>
          </w:p>
        </w:tc>
      </w:tr>
      <w:tr w:rsidR="0031005E" w:rsidRPr="008F3BD4" w14:paraId="261639B8" w14:textId="77777777" w:rsidTr="00EE74F2">
        <w:trPr>
          <w:trHeight w:val="756"/>
        </w:trPr>
        <w:tc>
          <w:tcPr>
            <w:tcW w:w="4063" w:type="dxa"/>
            <w:vAlign w:val="center"/>
          </w:tcPr>
          <w:p w14:paraId="74130027" w14:textId="2CD20007" w:rsidR="0031005E" w:rsidRPr="008F3BD4" w:rsidRDefault="0031005E" w:rsidP="00FE38C1">
            <w:pPr>
              <w:pStyle w:val="af7"/>
            </w:pPr>
            <w:r w:rsidRPr="008F3BD4">
              <w:t>Доля детей в возрасте от 6 до 17 лет, охваченных всеми формами отдыха и оздоровления, %</w:t>
            </w:r>
          </w:p>
        </w:tc>
        <w:tc>
          <w:tcPr>
            <w:tcW w:w="1296" w:type="dxa"/>
            <w:vAlign w:val="center"/>
          </w:tcPr>
          <w:p w14:paraId="17F9DD8B" w14:textId="11510001" w:rsidR="0031005E" w:rsidRPr="008F3BD4" w:rsidRDefault="00BC62EE" w:rsidP="00FE38C1">
            <w:pPr>
              <w:pStyle w:val="af7"/>
              <w:jc w:val="center"/>
            </w:pPr>
            <w:r w:rsidRPr="008F3BD4">
              <w:t>96,</w:t>
            </w:r>
            <w:r w:rsidR="0031005E" w:rsidRPr="008F3BD4">
              <w:t>6</w:t>
            </w:r>
          </w:p>
        </w:tc>
        <w:tc>
          <w:tcPr>
            <w:tcW w:w="1191" w:type="dxa"/>
            <w:vAlign w:val="center"/>
          </w:tcPr>
          <w:p w14:paraId="67B4DD42" w14:textId="3EA967A1" w:rsidR="0031005E" w:rsidRPr="008F3BD4" w:rsidRDefault="00BC62EE" w:rsidP="00FE38C1">
            <w:pPr>
              <w:pStyle w:val="af7"/>
              <w:jc w:val="center"/>
            </w:pPr>
            <w:r w:rsidRPr="008F3BD4">
              <w:t>96,</w:t>
            </w:r>
            <w:r w:rsidR="0031005E" w:rsidRPr="008F3BD4">
              <w:t>5</w:t>
            </w:r>
          </w:p>
        </w:tc>
        <w:tc>
          <w:tcPr>
            <w:tcW w:w="1236" w:type="dxa"/>
            <w:vAlign w:val="center"/>
          </w:tcPr>
          <w:p w14:paraId="20991CEC" w14:textId="105268F8" w:rsidR="0031005E" w:rsidRPr="008F3BD4" w:rsidRDefault="00BC62EE" w:rsidP="00FE38C1">
            <w:pPr>
              <w:pStyle w:val="af7"/>
              <w:jc w:val="center"/>
            </w:pPr>
            <w:r w:rsidRPr="008F3BD4">
              <w:t>96,</w:t>
            </w:r>
            <w:r w:rsidR="0031005E" w:rsidRPr="008F3BD4">
              <w:t>6</w:t>
            </w:r>
          </w:p>
        </w:tc>
        <w:tc>
          <w:tcPr>
            <w:tcW w:w="1553" w:type="dxa"/>
            <w:vAlign w:val="center"/>
          </w:tcPr>
          <w:p w14:paraId="2CF74B73" w14:textId="732EFFF1" w:rsidR="0031005E" w:rsidRPr="00FE38C1" w:rsidRDefault="007D6DB5" w:rsidP="00FE38C1">
            <w:pPr>
              <w:pStyle w:val="af7"/>
              <w:jc w:val="center"/>
              <w:rPr>
                <w:b/>
                <w:color w:val="00B050"/>
              </w:rPr>
            </w:pPr>
            <w:r w:rsidRPr="00FE38C1">
              <w:rPr>
                <w:b/>
                <w:color w:val="00B050"/>
              </w:rPr>
              <w:t>100,</w:t>
            </w:r>
            <w:r w:rsidR="0031005E" w:rsidRPr="00FE38C1">
              <w:rPr>
                <w:b/>
                <w:color w:val="00B050"/>
              </w:rPr>
              <w:t>1%</w:t>
            </w:r>
          </w:p>
        </w:tc>
      </w:tr>
    </w:tbl>
    <w:p w14:paraId="022ACCE8" w14:textId="72BBAC41" w:rsidR="00C628C0" w:rsidRDefault="00A90759" w:rsidP="00A93D7F">
      <w:r>
        <w:t>Н</w:t>
      </w:r>
      <w:r w:rsidR="0018664D">
        <w:t xml:space="preserve">а основании </w:t>
      </w:r>
      <w:r w:rsidR="007220A7">
        <w:t xml:space="preserve">проведенного </w:t>
      </w:r>
      <w:r w:rsidR="0018664D">
        <w:t xml:space="preserve">анализа социально-экономического развития Нефтеюганского </w:t>
      </w:r>
      <w:r>
        <w:t xml:space="preserve">района был выявлен ряд факторов, определяющих развитие </w:t>
      </w:r>
      <w:r w:rsidR="00FF22FE">
        <w:t>территории</w:t>
      </w:r>
      <w:r>
        <w:t xml:space="preserve"> на долгосрочную перспективу:</w:t>
      </w:r>
    </w:p>
    <w:p w14:paraId="011158A3" w14:textId="77777777" w:rsidR="00A90759" w:rsidRPr="00224829" w:rsidRDefault="00A90759" w:rsidP="00A93D7F">
      <w:pPr>
        <w:pStyle w:val="a0"/>
        <w:numPr>
          <w:ilvl w:val="0"/>
          <w:numId w:val="54"/>
        </w:numPr>
      </w:pPr>
      <w:r w:rsidRPr="00224829">
        <w:t>выгодное географическое положение, территориальная близость к основным региональным рынкам сбыта и высокая транспортная доступность территории;</w:t>
      </w:r>
    </w:p>
    <w:p w14:paraId="0DA84F73" w14:textId="0881F2F7" w:rsidR="00A90759" w:rsidRPr="00224829" w:rsidRDefault="00A90759" w:rsidP="00A93D7F">
      <w:pPr>
        <w:pStyle w:val="a0"/>
        <w:numPr>
          <w:ilvl w:val="0"/>
          <w:numId w:val="54"/>
        </w:numPr>
        <w:rPr>
          <w:lang w:eastAsia="en-US"/>
        </w:rPr>
      </w:pPr>
      <w:r w:rsidRPr="00224829">
        <w:t>наличие п</w:t>
      </w:r>
      <w:r w:rsidRPr="00224829">
        <w:rPr>
          <w:lang w:eastAsia="en-US"/>
        </w:rPr>
        <w:t>риродно-ресурсного потенциала для развития промышленного производства и ведения определенных видов сельскохозяйственной деятельности, туристско-рекреационной сферы;</w:t>
      </w:r>
    </w:p>
    <w:p w14:paraId="7C52AC71" w14:textId="1F261439" w:rsidR="00A90759" w:rsidRPr="00224829" w:rsidRDefault="00A90759" w:rsidP="00A93D7F">
      <w:pPr>
        <w:pStyle w:val="a0"/>
        <w:numPr>
          <w:ilvl w:val="0"/>
          <w:numId w:val="54"/>
        </w:numPr>
        <w:rPr>
          <w:lang w:eastAsia="en-US"/>
        </w:rPr>
      </w:pPr>
      <w:r w:rsidRPr="00224829">
        <w:rPr>
          <w:lang w:eastAsia="en-US"/>
        </w:rPr>
        <w:t>стабильно высокие темпы экономического роста, обусловленные локализацией нефтедобывающих предприятий на территории района;</w:t>
      </w:r>
    </w:p>
    <w:p w14:paraId="45E97707" w14:textId="506F7583" w:rsidR="00257D36" w:rsidRPr="00224829" w:rsidRDefault="00257D36" w:rsidP="00A93D7F">
      <w:pPr>
        <w:pStyle w:val="a0"/>
        <w:numPr>
          <w:ilvl w:val="0"/>
          <w:numId w:val="54"/>
        </w:numPr>
        <w:rPr>
          <w:lang w:eastAsia="en-US"/>
        </w:rPr>
      </w:pPr>
      <w:r w:rsidRPr="00224829">
        <w:rPr>
          <w:lang w:eastAsia="en-US"/>
        </w:rPr>
        <w:t xml:space="preserve">высокий уровень душевых доходов и, как следствие, </w:t>
      </w:r>
      <w:r w:rsidR="008B064E" w:rsidRPr="00224829">
        <w:rPr>
          <w:lang w:eastAsia="en-US"/>
        </w:rPr>
        <w:t xml:space="preserve">высокая доля </w:t>
      </w:r>
      <w:r w:rsidRPr="00224829">
        <w:rPr>
          <w:lang w:eastAsia="en-US"/>
        </w:rPr>
        <w:t>платежеспособ</w:t>
      </w:r>
      <w:r w:rsidR="008B064E" w:rsidRPr="00224829">
        <w:rPr>
          <w:lang w:eastAsia="en-US"/>
        </w:rPr>
        <w:t>ного</w:t>
      </w:r>
      <w:r w:rsidRPr="00224829">
        <w:rPr>
          <w:lang w:eastAsia="en-US"/>
        </w:rPr>
        <w:t xml:space="preserve"> населения</w:t>
      </w:r>
      <w:r w:rsidR="00BC6069" w:rsidRPr="00224829">
        <w:rPr>
          <w:lang w:eastAsia="en-US"/>
        </w:rPr>
        <w:t>;</w:t>
      </w:r>
    </w:p>
    <w:p w14:paraId="36B1D0FC" w14:textId="77777777" w:rsidR="00805BCD" w:rsidRPr="00224829" w:rsidRDefault="008B064E" w:rsidP="00A93D7F">
      <w:pPr>
        <w:pStyle w:val="a0"/>
        <w:numPr>
          <w:ilvl w:val="0"/>
          <w:numId w:val="54"/>
        </w:numPr>
      </w:pPr>
      <w:r w:rsidRPr="00224829">
        <w:rPr>
          <w:lang w:eastAsia="en-US"/>
        </w:rPr>
        <w:t>миграционный приток населения в трудоспособном возрасте</w:t>
      </w:r>
      <w:r w:rsidR="00D11728" w:rsidRPr="00224829">
        <w:t xml:space="preserve">, </w:t>
      </w:r>
      <w:r w:rsidR="00DE010D" w:rsidRPr="00224829">
        <w:t xml:space="preserve">способствующий омоложению населения района, </w:t>
      </w:r>
      <w:r w:rsidR="000D4D6F" w:rsidRPr="00224829">
        <w:t>высокая доля экономически активного населения;</w:t>
      </w:r>
    </w:p>
    <w:p w14:paraId="33680501" w14:textId="5C2299C8" w:rsidR="00805BCD" w:rsidRPr="00224829" w:rsidRDefault="00805BCD" w:rsidP="00A93D7F">
      <w:pPr>
        <w:pStyle w:val="a0"/>
        <w:numPr>
          <w:ilvl w:val="0"/>
          <w:numId w:val="54"/>
        </w:numPr>
      </w:pPr>
      <w:r w:rsidRPr="00224829">
        <w:t>высокая степень благоустройства жилых домов жилищно-коммунальными услугами (централизованными системами теплоснабжения, водоснабжения и водоотведения)</w:t>
      </w:r>
      <w:r w:rsidR="008D4589" w:rsidRPr="00224829">
        <w:t>.</w:t>
      </w:r>
    </w:p>
    <w:p w14:paraId="5340EC4E" w14:textId="61CA98D6" w:rsidR="00F90FC1" w:rsidRDefault="00224829" w:rsidP="00A93D7F">
      <w:r>
        <w:t>В то же время, к</w:t>
      </w:r>
      <w:r w:rsidR="00CC71EA">
        <w:t xml:space="preserve"> внутренним рискам социально-экономического развития</w:t>
      </w:r>
      <w:r>
        <w:t xml:space="preserve"> района</w:t>
      </w:r>
      <w:r w:rsidR="00CC71EA">
        <w:t xml:space="preserve"> можно отнести</w:t>
      </w:r>
      <w:r w:rsidR="00F90FC1">
        <w:t xml:space="preserve">: </w:t>
      </w:r>
    </w:p>
    <w:p w14:paraId="518EFA03" w14:textId="47D0E730" w:rsidR="00DC57CD" w:rsidRDefault="005D460B" w:rsidP="00A93D7F">
      <w:pPr>
        <w:pStyle w:val="a0"/>
        <w:numPr>
          <w:ilvl w:val="0"/>
          <w:numId w:val="3"/>
        </w:numPr>
      </w:pPr>
      <w:r w:rsidRPr="00CC71EA">
        <w:t>инфраструктурные ограничения развития</w:t>
      </w:r>
      <w:r w:rsidR="00DC57CD">
        <w:t>, связанные с недостаточными</w:t>
      </w:r>
      <w:r w:rsidR="00FB0F5C" w:rsidRPr="00CC71EA">
        <w:t xml:space="preserve"> </w:t>
      </w:r>
      <w:r w:rsidR="00DC57CD">
        <w:t>темпами</w:t>
      </w:r>
      <w:r w:rsidRPr="00CC71EA">
        <w:t xml:space="preserve"> развития </w:t>
      </w:r>
      <w:r w:rsidR="00DC57CD">
        <w:t xml:space="preserve">жилищно-коммунальной </w:t>
      </w:r>
      <w:r w:rsidR="00A91591">
        <w:t xml:space="preserve">инфраструктуры и высоким уровнем </w:t>
      </w:r>
      <w:r w:rsidRPr="00CC71EA">
        <w:t>износа основных фондов коммунально</w:t>
      </w:r>
      <w:r w:rsidR="00A91591">
        <w:t>й</w:t>
      </w:r>
      <w:r w:rsidRPr="00CC71EA">
        <w:t xml:space="preserve"> инфраструктуры; </w:t>
      </w:r>
    </w:p>
    <w:p w14:paraId="614BE608" w14:textId="20747E92" w:rsidR="005D460B" w:rsidRPr="00CC71EA" w:rsidRDefault="003D66B2" w:rsidP="00A93D7F">
      <w:pPr>
        <w:pStyle w:val="a0"/>
        <w:numPr>
          <w:ilvl w:val="0"/>
          <w:numId w:val="3"/>
        </w:numPr>
      </w:pPr>
      <w:r>
        <w:t>низкие темпы</w:t>
      </w:r>
      <w:r w:rsidR="00BC2FFB">
        <w:t xml:space="preserve"> жилищного строительства</w:t>
      </w:r>
      <w:r w:rsidR="00B019F0">
        <w:t xml:space="preserve">, </w:t>
      </w:r>
      <w:r>
        <w:t>связанные с низкой</w:t>
      </w:r>
      <w:r w:rsidR="00B019F0">
        <w:t xml:space="preserve"> заинтересованность</w:t>
      </w:r>
      <w:r>
        <w:t>ю</w:t>
      </w:r>
      <w:r w:rsidR="00B019F0">
        <w:t xml:space="preserve"> частных инвесторов в реализации проектов жилищного строительства на территории района</w:t>
      </w:r>
      <w:r>
        <w:t>, и, как следствие, низкий уровень предложения жилья с различными потребительскими характеристиками;</w:t>
      </w:r>
    </w:p>
    <w:p w14:paraId="435C611D" w14:textId="246C5127" w:rsidR="00F018DA" w:rsidRDefault="00FB0F5C" w:rsidP="00A93D7F">
      <w:pPr>
        <w:pStyle w:val="a0"/>
        <w:numPr>
          <w:ilvl w:val="0"/>
          <w:numId w:val="3"/>
        </w:numPr>
      </w:pPr>
      <w:r w:rsidRPr="00CC71EA">
        <w:t>несбалансированность системы расселения и мест приложения труда на территории района</w:t>
      </w:r>
      <w:r w:rsidR="005D460B" w:rsidRPr="00CC71EA">
        <w:t xml:space="preserve">, неравномерное развитие </w:t>
      </w:r>
      <w:r w:rsidR="00F018DA">
        <w:t>сельских поселений, входящих в состав района, и, как следствие, снижение экономической и социальной устойчивости, инвестиционной активности и показателей</w:t>
      </w:r>
      <w:r w:rsidR="00F018DA" w:rsidRPr="00CC71EA">
        <w:t xml:space="preserve"> качества жизни населения</w:t>
      </w:r>
      <w:r w:rsidR="00F018DA">
        <w:t xml:space="preserve"> в отдельных сельских поселениях;</w:t>
      </w:r>
    </w:p>
    <w:p w14:paraId="415F42E7" w14:textId="12A8B032" w:rsidR="00686941" w:rsidRPr="00CC71EA" w:rsidRDefault="00686941" w:rsidP="00A93D7F">
      <w:pPr>
        <w:pStyle w:val="a0"/>
        <w:numPr>
          <w:ilvl w:val="0"/>
          <w:numId w:val="3"/>
        </w:numPr>
      </w:pPr>
      <w:r w:rsidRPr="00CC71EA">
        <w:t>преимущественно моноотраслевая экономическая структура</w:t>
      </w:r>
      <w:r w:rsidR="004C73BF" w:rsidRPr="00CC71EA">
        <w:t>, низкий уровень развития секторов экономики, не связанных с нефтедобычей (обрабатывающих производств за исключением нефтегазового машиностроения, агропромышленного сектора, сферы услуг)</w:t>
      </w:r>
      <w:r w:rsidR="00E17C97">
        <w:t>;</w:t>
      </w:r>
    </w:p>
    <w:p w14:paraId="11025C22" w14:textId="53CCEB39" w:rsidR="003558C9" w:rsidRDefault="001061A7" w:rsidP="00A93D7F">
      <w:pPr>
        <w:pStyle w:val="a0"/>
        <w:numPr>
          <w:ilvl w:val="0"/>
          <w:numId w:val="3"/>
        </w:numPr>
      </w:pPr>
      <w:r>
        <w:t>дефицит промышленных площадок, обеспеченных необходимой инфраструктурой</w:t>
      </w:r>
      <w:r w:rsidR="003558C9" w:rsidRPr="00CC71EA">
        <w:t xml:space="preserve"> дл</w:t>
      </w:r>
      <w:r>
        <w:t>я размещения новых производств;</w:t>
      </w:r>
    </w:p>
    <w:p w14:paraId="0840502F" w14:textId="22388F0F" w:rsidR="00F5176B" w:rsidRPr="00CC71EA" w:rsidRDefault="00F5176B" w:rsidP="00A93D7F">
      <w:pPr>
        <w:pStyle w:val="a0"/>
        <w:numPr>
          <w:ilvl w:val="0"/>
          <w:numId w:val="3"/>
        </w:numPr>
      </w:pPr>
      <w:r>
        <w:t>недостаточный уровень развития сферы услуг (социальных, коммунальных, бытовых) на территории отдельных сельских поселений</w:t>
      </w:r>
      <w:r w:rsidR="00767FC7">
        <w:t xml:space="preserve">, провоцирующая </w:t>
      </w:r>
      <w:r w:rsidR="00042C62">
        <w:t>«</w:t>
      </w:r>
      <w:r w:rsidR="00767FC7">
        <w:t>переток</w:t>
      </w:r>
      <w:r w:rsidR="00042C62">
        <w:t>»</w:t>
      </w:r>
      <w:r w:rsidR="00767FC7">
        <w:t xml:space="preserve"> населения в более развитые </w:t>
      </w:r>
      <w:r w:rsidR="00F92D34">
        <w:t>населенные пункты.</w:t>
      </w:r>
    </w:p>
    <w:p w14:paraId="6132B730" w14:textId="77777777" w:rsidR="00EB6D73" w:rsidRDefault="00EB6D73" w:rsidP="00A93D7F">
      <w:r>
        <w:lastRenderedPageBreak/>
        <w:t xml:space="preserve">Полный анализ социально-экономического развития района содержится в Приложении 1. </w:t>
      </w:r>
      <w:r w:rsidRPr="00EB6D73">
        <w:rPr>
          <w:lang w:val="en-US"/>
        </w:rPr>
        <w:t>SWOT</w:t>
      </w:r>
      <w:r w:rsidRPr="00EB6D73">
        <w:t>-</w:t>
      </w:r>
      <w:r>
        <w:t>анализ социально-экономического развития содержится в Приложении 2.</w:t>
      </w:r>
    </w:p>
    <w:p w14:paraId="7B26A21E" w14:textId="77777777" w:rsidR="00EB6D73" w:rsidRDefault="00EB6D73" w:rsidP="00A93D7F">
      <w:pPr>
        <w:pStyle w:val="formattext"/>
      </w:pPr>
    </w:p>
    <w:p w14:paraId="2893E952" w14:textId="77777777" w:rsidR="001B3282" w:rsidRPr="00CE3B3A" w:rsidRDefault="001B3282" w:rsidP="00A93D7F"/>
    <w:p w14:paraId="17080691" w14:textId="77777777" w:rsidR="00982471" w:rsidRDefault="00982471" w:rsidP="00A93D7F">
      <w:pPr>
        <w:pStyle w:val="a0"/>
      </w:pPr>
    </w:p>
    <w:p w14:paraId="1A4EE554" w14:textId="197E74EF" w:rsidR="00CB7873" w:rsidRDefault="00CB7873" w:rsidP="00A93D7F">
      <w:pPr>
        <w:pStyle w:val="2"/>
      </w:pPr>
      <w:bookmarkStart w:id="8" w:name="_Toc503913869"/>
      <w:bookmarkStart w:id="9" w:name="_Toc504055100"/>
      <w:r>
        <w:t>Формирование сценариев развития района на период до 2030 года и выбор целевого сценария</w:t>
      </w:r>
      <w:bookmarkEnd w:id="8"/>
      <w:bookmarkEnd w:id="9"/>
    </w:p>
    <w:p w14:paraId="2A485057" w14:textId="77777777" w:rsidR="0062126A" w:rsidRDefault="0062126A" w:rsidP="00A93D7F">
      <w:pPr>
        <w:rPr>
          <w:highlight w:val="green"/>
        </w:rPr>
      </w:pPr>
    </w:p>
    <w:p w14:paraId="46AFA68C" w14:textId="3478BB09" w:rsidR="00AA1CB9" w:rsidRPr="00AA1CB9" w:rsidRDefault="00AA1CB9" w:rsidP="00A93D7F">
      <w:r w:rsidRPr="00AA1CB9">
        <w:t xml:space="preserve">Сценарии социально-экономического развития Нефтеюганского района базируются на основных сценариях развития Стратегии социально-экономического развития Ханты-Мансийского автономного округа – Югры до 2030 года с учетом долгосрочных </w:t>
      </w:r>
      <w:r w:rsidR="00086CCC">
        <w:t xml:space="preserve">демографических, экономических и </w:t>
      </w:r>
      <w:r w:rsidRPr="00AA1CB9">
        <w:t>социальных прогнозов развития района</w:t>
      </w:r>
      <w:r w:rsidR="00086CCC">
        <w:t xml:space="preserve"> на период</w:t>
      </w:r>
      <w:r w:rsidRPr="00AA1CB9">
        <w:t xml:space="preserve"> до 2030 года.</w:t>
      </w:r>
    </w:p>
    <w:p w14:paraId="6C32DBA4" w14:textId="0A4A18F6" w:rsidR="00086CCC" w:rsidRPr="00630CA4" w:rsidRDefault="00021640" w:rsidP="00A93D7F">
      <w:r w:rsidRPr="00AA1CB9">
        <w:t xml:space="preserve">При разработке сценариев развития Нефтеюганского района определены основные экономические приоритеты на ближайшую, среднесрочную и долгосрочную перспективу, </w:t>
      </w:r>
      <w:r>
        <w:t xml:space="preserve">а также </w:t>
      </w:r>
      <w:r w:rsidRPr="00AA1CB9">
        <w:t xml:space="preserve">позиционирование Нефтеюганского района в Стратегии социально-экономического развития Ханты-Мансийского автономного округа – Югры до 2030 года с учетом специфики и особенностей социально-экономического положения района. </w:t>
      </w:r>
      <w:r w:rsidR="00AA1CB9" w:rsidRPr="00AA1CB9">
        <w:t xml:space="preserve">При формировании </w:t>
      </w:r>
      <w:r>
        <w:t xml:space="preserve">основных </w:t>
      </w:r>
      <w:r w:rsidR="00AA1CB9" w:rsidRPr="00AA1CB9">
        <w:t xml:space="preserve">сценариев также учитывались достигнутый уровень, проблемы, тенденции и ресурсное обеспечение социально-экономического развития Нефтеюганского района, а также </w:t>
      </w:r>
      <w:r w:rsidR="00086CCC">
        <w:t>внешние риски:</w:t>
      </w:r>
    </w:p>
    <w:p w14:paraId="7621101F" w14:textId="77777777" w:rsidR="00086CCC" w:rsidRPr="00630CA4" w:rsidRDefault="00086CCC" w:rsidP="00A93D7F">
      <w:pPr>
        <w:pStyle w:val="a0"/>
        <w:numPr>
          <w:ilvl w:val="0"/>
          <w:numId w:val="2"/>
        </w:numPr>
      </w:pPr>
      <w:r w:rsidRPr="00630CA4">
        <w:t xml:space="preserve">нестабильная внешнеэкономическая ситуация, отрицательно влияющая на инвестиционный имидж отдельных отраслей экономики, как результат – сжатие финансовых рынков и снижение доступности финансовых ресурсов; </w:t>
      </w:r>
    </w:p>
    <w:p w14:paraId="6D7464AD" w14:textId="202B74C9" w:rsidR="00086CCC" w:rsidRPr="00630CA4" w:rsidRDefault="00086CCC" w:rsidP="00A93D7F">
      <w:pPr>
        <w:pStyle w:val="a0"/>
        <w:numPr>
          <w:ilvl w:val="0"/>
          <w:numId w:val="2"/>
        </w:numPr>
      </w:pPr>
      <w:r w:rsidRPr="00630CA4">
        <w:t xml:space="preserve">зависимость ключевого сектора экономики района от </w:t>
      </w:r>
      <w:r w:rsidRPr="00AA1CB9">
        <w:t>основных макроэкономических показателей конъюнктуры мирового энергетического рынка</w:t>
      </w:r>
      <w:r>
        <w:t>, в частности,</w:t>
      </w:r>
      <w:r w:rsidRPr="00630CA4">
        <w:t xml:space="preserve"> мировых цен на энергоносители;</w:t>
      </w:r>
    </w:p>
    <w:p w14:paraId="3A2CDABF" w14:textId="724BABD5" w:rsidR="00086CCC" w:rsidRPr="00630CA4" w:rsidRDefault="00086CCC" w:rsidP="00A93D7F">
      <w:pPr>
        <w:pStyle w:val="a0"/>
        <w:numPr>
          <w:ilvl w:val="0"/>
          <w:numId w:val="2"/>
        </w:numPr>
      </w:pPr>
      <w:r w:rsidRPr="00630CA4">
        <w:t>ресурсная (в первую очередь, бюджетная) ограниченность, зависимость от региональных трансфертов</w:t>
      </w:r>
      <w:r w:rsidR="00021640">
        <w:t xml:space="preserve"> и </w:t>
      </w:r>
      <w:r w:rsidR="00021640" w:rsidRPr="00630CA4">
        <w:t>рост социальной нагрузки на бюджет</w:t>
      </w:r>
      <w:r w:rsidRPr="00630CA4">
        <w:t>;</w:t>
      </w:r>
    </w:p>
    <w:p w14:paraId="65D09B44" w14:textId="77777777" w:rsidR="00086CCC" w:rsidRDefault="00086CCC" w:rsidP="00A93D7F">
      <w:pPr>
        <w:pStyle w:val="a0"/>
        <w:numPr>
          <w:ilvl w:val="0"/>
          <w:numId w:val="2"/>
        </w:numPr>
      </w:pPr>
      <w:r w:rsidRPr="00630CA4">
        <w:t>конкуренция с агломерациями Ханты-Мансийского автономного округа - Югры за трудовые ресурсы, вызванная опережающим развитием соседних муниципальных образований (в первую очередь, городов: г. Сургута, г. Ханты-Мансийска, г. Нефтеюганска).</w:t>
      </w:r>
    </w:p>
    <w:p w14:paraId="5C74EA5B" w14:textId="50C24DC1" w:rsidR="00A90373" w:rsidRDefault="00A90373" w:rsidP="00A93D7F">
      <w:r w:rsidRPr="00A90373">
        <w:t>В С</w:t>
      </w:r>
      <w:r>
        <w:t>тратегии рассматриваются два</w:t>
      </w:r>
      <w:r w:rsidRPr="00A90373">
        <w:t xml:space="preserve"> варианта сценария развития территории Нефтеюганского района: инновационный и инерционный. В инерционном варианте экономическая роль корпоративного сектора сохраняется на современном уровне; в инновационном сценарии значительно увеличивается роль и влияние несырьевого сектора, в максимальной степени опирающегося на малый и средний бизнес.</w:t>
      </w:r>
    </w:p>
    <w:p w14:paraId="748AB184" w14:textId="77777777" w:rsidR="004B16FC" w:rsidRDefault="004B16FC" w:rsidP="00A93D7F"/>
    <w:p w14:paraId="5EC21F05" w14:textId="77777777" w:rsidR="00FE530F" w:rsidRPr="00B47F48" w:rsidRDefault="00FE530F" w:rsidP="00A93D7F">
      <w:pPr>
        <w:rPr>
          <w:i/>
        </w:rPr>
      </w:pPr>
      <w:r w:rsidRPr="00B47F48">
        <w:rPr>
          <w:i/>
        </w:rPr>
        <w:t>Инерционный сценарий</w:t>
      </w:r>
    </w:p>
    <w:p w14:paraId="582CFAA0" w14:textId="370668D3" w:rsidR="00FE530F" w:rsidRPr="00FE530F" w:rsidRDefault="00FE530F" w:rsidP="00A93D7F">
      <w:r w:rsidRPr="00FE530F">
        <w:t xml:space="preserve">Развитие экономики в инерционном сценарии отражает сохранение доминирующей роли нефтегазового сектора. Усложнение горно-геологических условий нефтедобычи потребует более высоких удельных затрат и проводимых объемов работ. В результате произойдет стабилизация инвестиционных потоков в профильном секторе экономики – нефтегазодобывающей промышленности и при этом увеличение спроса нефтедобычи на услуги других отраслей корпоративного сектора (прежде всего электроэнергетики, ведомственного строительства и транспорта). Доминирование базового сектора в </w:t>
      </w:r>
      <w:r w:rsidRPr="00FE530F">
        <w:lastRenderedPageBreak/>
        <w:t>структуре экономики района создаст предпосылки для закрепления сложившейся структуры занятости, когда основная часть работающих сосредоточена в нефтедобывающей отрасли и обслуживающих ее отраслях (машиностроении, тран</w:t>
      </w:r>
      <w:r w:rsidR="00F465EE">
        <w:t>с</w:t>
      </w:r>
      <w:r w:rsidRPr="00FE530F">
        <w:t>порте).</w:t>
      </w:r>
    </w:p>
    <w:p w14:paraId="5097B6F9" w14:textId="77777777" w:rsidR="00FE530F" w:rsidRPr="00FE530F" w:rsidRDefault="00FE530F" w:rsidP="00A93D7F">
      <w:r w:rsidRPr="00FE530F">
        <w:t>Структура видов экономической деятельности в секторе малого и среднего бизнеса не претерпит существенных изменений, причем основными видами деятельности малых и средних предприятий, по-прежнему, будут выступать оптовая и розничная торговля, транспорт и связь и строительство.</w:t>
      </w:r>
    </w:p>
    <w:p w14:paraId="6753490B" w14:textId="77777777" w:rsidR="00FE530F" w:rsidRPr="00FE530F" w:rsidRDefault="00FE530F" w:rsidP="00A93D7F">
      <w:r w:rsidRPr="00FE530F">
        <w:t xml:space="preserve">Демографическое развитие муниципального образования Нефтеюганский район в инерционном сценарии характеризуется сохранением текущего уровня показателей естественного движения населения, притоком мигрантов в трудоспособном возрасте и оттоком населения в возрасте старше трудоспособного. Приток мигрантов объясняется устойчивым ростом региональной экономики, что будет создавать дополнительный спрос на рынке труда на фоне стабилизации численности населения трудоспособного возраста. В результате тенденции повышения уровня и качества жизни пенсионеров в целом в стране, реализации государственных программ, позволяющих приобретать жилье за пределами муниципального образования Нефтеюганский район и автономного округа Югры, сохранится тенденция оттока населения в возрасте старше трудоспособного. </w:t>
      </w:r>
    </w:p>
    <w:p w14:paraId="01261BFE" w14:textId="77777777" w:rsidR="00FE530F" w:rsidRPr="00FE530F" w:rsidRDefault="00FE530F" w:rsidP="00A93D7F">
      <w:r w:rsidRPr="00FE530F">
        <w:t>Таким образом, в инерционном сценарии экономический рост будет обеспечен, в первую очередь, за счет традиционных отраслей промышленности и потребительского сектора, обусловленного общим повышением платежеспособности населения и возрастающим спросом на качественные бытовые и культурно-оздоровительные услуги.</w:t>
      </w:r>
    </w:p>
    <w:p w14:paraId="2E0C8F74" w14:textId="77777777" w:rsidR="00FE530F" w:rsidRPr="00FE530F" w:rsidRDefault="00FE530F" w:rsidP="00A93D7F">
      <w:r w:rsidRPr="00FE530F">
        <w:t xml:space="preserve">В рамках данного сценария стратегическая цель органов местного самоуправления Нефтеюганского района – повышение эффективности и устойчивости экономики, улучшение качества жизни населения. Для выполнения данной цели все усилия органов местного самоуправления должны быть направлены, в первую очередь, на дальнейшее повышение качества и эффективности муниципального управления, расширение спектра оказываемых услуг, главным образом, за счет предприятий промышленного производства, малого и среднего бизнеса. Рост доходов бюджета будет происходить преимущественно за счет доходов от собственности, предпринимательской активности. </w:t>
      </w:r>
    </w:p>
    <w:p w14:paraId="0F315DF0" w14:textId="77777777" w:rsidR="00FE530F" w:rsidRDefault="00FE530F" w:rsidP="00A93D7F"/>
    <w:p w14:paraId="53C8991E" w14:textId="77777777" w:rsidR="00D81B69" w:rsidRPr="00B47F48" w:rsidRDefault="00FE530F" w:rsidP="00A93D7F">
      <w:pPr>
        <w:rPr>
          <w:i/>
        </w:rPr>
      </w:pPr>
      <w:r w:rsidRPr="00B47F48">
        <w:rPr>
          <w:i/>
        </w:rPr>
        <w:t>Инновационный сценарий</w:t>
      </w:r>
    </w:p>
    <w:p w14:paraId="27DF8783" w14:textId="3816805F" w:rsidR="00D81B69" w:rsidRPr="004B16FC" w:rsidRDefault="004B0277" w:rsidP="00A93D7F">
      <w:r w:rsidRPr="004B16FC">
        <w:t xml:space="preserve">Инновационный сценарий исходит из постепенного снижения удельного веса в структуре экономики </w:t>
      </w:r>
      <w:r w:rsidR="00BD0B9D" w:rsidRPr="004B16FC">
        <w:t>района</w:t>
      </w:r>
      <w:r w:rsidRPr="004B16FC">
        <w:t xml:space="preserve"> профильной </w:t>
      </w:r>
      <w:r w:rsidR="00BD0B9D" w:rsidRPr="004B16FC">
        <w:t>нефтедобывающей</w:t>
      </w:r>
      <w:r w:rsidRPr="004B16FC">
        <w:t xml:space="preserve"> отрасли</w:t>
      </w:r>
      <w:r w:rsidR="00BD0B9D" w:rsidRPr="004B16FC">
        <w:t xml:space="preserve"> и диверсификации структуры занятости, которая будет сопровождаться сокращением неэффективных рабочих мест, перераспределением работников между отраслями, увеличением доли занятых в сфере услуг</w:t>
      </w:r>
      <w:r w:rsidR="009F30E2" w:rsidRPr="004B16FC">
        <w:t xml:space="preserve"> и на предприятиях малого и среднего бизнеса в целом</w:t>
      </w:r>
      <w:r w:rsidR="00BD0B9D" w:rsidRPr="004B16FC">
        <w:t>.</w:t>
      </w:r>
      <w:r w:rsidR="00D81B69" w:rsidRPr="004B16FC">
        <w:t xml:space="preserve"> Инновационный сценарий характеризуется усилением инвестиционной направленности экономического роста. Модернизация нефтедобывающего комплекса остается задачей инновационного сценария, но его основное отличие от инерционного в том, что появляются и другие самостоятельные локомотивы роста. </w:t>
      </w:r>
    </w:p>
    <w:p w14:paraId="7A621F10" w14:textId="77777777" w:rsidR="00D81B69" w:rsidRPr="004B16FC" w:rsidRDefault="00D81B69" w:rsidP="00A93D7F">
      <w:r w:rsidRPr="004B16FC">
        <w:t xml:space="preserve">Новыми локомотивами роста экономики в инновационном сценарии станут: </w:t>
      </w:r>
    </w:p>
    <w:p w14:paraId="5DE57C2B" w14:textId="30AB6DEC" w:rsidR="00D81B69" w:rsidRPr="004B16FC" w:rsidRDefault="00D81B69" w:rsidP="00A93D7F">
      <w:pPr>
        <w:pStyle w:val="a0"/>
        <w:numPr>
          <w:ilvl w:val="0"/>
          <w:numId w:val="47"/>
        </w:numPr>
      </w:pPr>
      <w:r w:rsidRPr="004B16FC">
        <w:t>транспортно-логистический комплекс, развитие которого будет обеспечено усилением эконмических связей с соседними муниципальными образованиями Ханты-Мансийского автономного округа (поставка продукции обрабатывающей промышленности</w:t>
      </w:r>
      <w:r w:rsidR="00150474" w:rsidRPr="004B16FC">
        <w:t xml:space="preserve"> и</w:t>
      </w:r>
      <w:r w:rsidRPr="004B16FC">
        <w:t xml:space="preserve"> сельского хозяйства</w:t>
      </w:r>
      <w:r w:rsidR="00150474" w:rsidRPr="004B16FC">
        <w:t xml:space="preserve">, </w:t>
      </w:r>
      <w:r w:rsidRPr="004B16FC">
        <w:t>развитие рекреационных услуг на территории района);</w:t>
      </w:r>
    </w:p>
    <w:p w14:paraId="27BC0510" w14:textId="0DB09FA8" w:rsidR="000479EC" w:rsidRPr="004B16FC" w:rsidRDefault="000479EC" w:rsidP="00A93D7F">
      <w:pPr>
        <w:pStyle w:val="a0"/>
        <w:numPr>
          <w:ilvl w:val="0"/>
          <w:numId w:val="47"/>
        </w:numPr>
      </w:pPr>
      <w:r w:rsidRPr="004B16FC">
        <w:t>обрабатывающая промышленность (лесопромышленный комплекс, производство строительных материалов)</w:t>
      </w:r>
      <w:r w:rsidR="00D524BA" w:rsidRPr="004B16FC">
        <w:t xml:space="preserve">, развитие добычи минеральных ресурсов и повышение уровня переработки, </w:t>
      </w:r>
      <w:r w:rsidR="00D524BA" w:rsidRPr="00E00BA5">
        <w:rPr>
          <w:rFonts w:eastAsia="Times New Roman"/>
        </w:rPr>
        <w:t>диверсификация ассортимента выпускаемой продукции;</w:t>
      </w:r>
    </w:p>
    <w:p w14:paraId="6AF13B8A" w14:textId="42319106" w:rsidR="007569DB" w:rsidRPr="0024499F" w:rsidRDefault="00266F9C" w:rsidP="00A93D7F">
      <w:pPr>
        <w:pStyle w:val="a0"/>
        <w:numPr>
          <w:ilvl w:val="0"/>
          <w:numId w:val="47"/>
        </w:numPr>
      </w:pPr>
      <w:r w:rsidRPr="004B16FC">
        <w:lastRenderedPageBreak/>
        <w:t>производственные цепочки в агропромышленном</w:t>
      </w:r>
      <w:r w:rsidR="00D81B69" w:rsidRPr="004B16FC">
        <w:t xml:space="preserve"> комплекс</w:t>
      </w:r>
      <w:r w:rsidRPr="004B16FC">
        <w:t>е</w:t>
      </w:r>
      <w:r w:rsidR="00D81B69" w:rsidRPr="004B16FC">
        <w:t>,</w:t>
      </w:r>
      <w:r w:rsidR="007569DB" w:rsidRPr="004B16FC">
        <w:t xml:space="preserve"> развитие глубокой переработки</w:t>
      </w:r>
      <w:r w:rsidRPr="004B16FC">
        <w:t xml:space="preserve"> про</w:t>
      </w:r>
      <w:r w:rsidR="007569DB" w:rsidRPr="004B16FC">
        <w:t>дуктов (как сельского хозяйства</w:t>
      </w:r>
      <w:r w:rsidR="007569DB" w:rsidRPr="0024499F">
        <w:t xml:space="preserve">, </w:t>
      </w:r>
      <w:r w:rsidRPr="0024499F">
        <w:t>так и дикоросов)</w:t>
      </w:r>
      <w:r w:rsidR="0077791C" w:rsidRPr="0024499F">
        <w:t>, модернизация существующих сельскохозяйственных предприятий и развитие сельскохозяйственной кооперации</w:t>
      </w:r>
      <w:r w:rsidR="007569DB" w:rsidRPr="0024499F">
        <w:t>;</w:t>
      </w:r>
    </w:p>
    <w:p w14:paraId="064F158C" w14:textId="79ABFE66" w:rsidR="007569DB" w:rsidRPr="0024499F" w:rsidRDefault="00B163AA" w:rsidP="00A93D7F">
      <w:pPr>
        <w:pStyle w:val="a0"/>
        <w:numPr>
          <w:ilvl w:val="0"/>
          <w:numId w:val="47"/>
        </w:numPr>
      </w:pPr>
      <w:r w:rsidRPr="0024499F">
        <w:t>туристско-рекреационный комплекс, в рамках развития которого представляется возможным создание значительного числа новых рабочих мест;</w:t>
      </w:r>
    </w:p>
    <w:p w14:paraId="3599DED2" w14:textId="470BCB05" w:rsidR="00FE530F" w:rsidRPr="0024499F" w:rsidRDefault="0055202F" w:rsidP="00A93D7F">
      <w:pPr>
        <w:pStyle w:val="a0"/>
        <w:numPr>
          <w:ilvl w:val="0"/>
          <w:numId w:val="47"/>
        </w:numPr>
      </w:pPr>
      <w:r w:rsidRPr="0024499F">
        <w:t>малое</w:t>
      </w:r>
      <w:r w:rsidR="00F465EE" w:rsidRPr="0024499F">
        <w:t xml:space="preserve"> и среднее предпринимательство как в традиционных сферах торговли и бытовых услуг, так и в обрабатывающей промышленности, </w:t>
      </w:r>
      <w:r w:rsidR="00D268AC" w:rsidRPr="0024499F">
        <w:t xml:space="preserve">агропромышленном комплексе, </w:t>
      </w:r>
      <w:r w:rsidR="00F465EE" w:rsidRPr="0024499F">
        <w:t>туристско-рекреационном комплексе</w:t>
      </w:r>
      <w:r w:rsidR="00D268AC" w:rsidRPr="0024499F">
        <w:t>.</w:t>
      </w:r>
    </w:p>
    <w:p w14:paraId="63918D46" w14:textId="52BFE217" w:rsidR="006E0CB5" w:rsidRPr="0024499F" w:rsidRDefault="006E0CB5" w:rsidP="00A93D7F">
      <w:r w:rsidRPr="0024499F">
        <w:t>Ключевым вызовом инновационного сценария</w:t>
      </w:r>
      <w:r w:rsidR="00AA1CB9" w:rsidRPr="0024499F">
        <w:t xml:space="preserve"> </w:t>
      </w:r>
      <w:r w:rsidRPr="0024499F">
        <w:t>станет закрепление</w:t>
      </w:r>
      <w:r w:rsidR="00AA1CB9" w:rsidRPr="0024499F">
        <w:t xml:space="preserve"> </w:t>
      </w:r>
      <w:r w:rsidRPr="0024499F">
        <w:t>конкурентоспособных</w:t>
      </w:r>
      <w:r w:rsidR="00AA1CB9" w:rsidRPr="0024499F">
        <w:t xml:space="preserve"> </w:t>
      </w:r>
      <w:r w:rsidRPr="0024499F">
        <w:t>кадров на районных предприятиях</w:t>
      </w:r>
      <w:r w:rsidR="00AA1CB9" w:rsidRPr="0024499F">
        <w:t xml:space="preserve">. </w:t>
      </w:r>
      <w:r w:rsidR="00375590" w:rsidRPr="0024499F">
        <w:t>Обеспечение качества жизни, сопоставимого с соседними муниципальными образованиями (г. Нефтеюганск, г. Сургут)</w:t>
      </w:r>
      <w:r w:rsidR="00D4648F" w:rsidRPr="0024499F">
        <w:t xml:space="preserve"> потребует значительных инвестиционных вложений в развитие инфраструктуры, в первую очеред</w:t>
      </w:r>
      <w:r w:rsidR="00CA3671" w:rsidRPr="0024499F">
        <w:t>ь, в жилищно-коммунальной сфере, развития жилищного строительства и рынка жилья с различными пот</w:t>
      </w:r>
      <w:r w:rsidR="000B1931" w:rsidRPr="0024499F">
        <w:t>ребительскими х</w:t>
      </w:r>
      <w:r w:rsidR="00CA3671" w:rsidRPr="0024499F">
        <w:t>арактеристиками</w:t>
      </w:r>
      <w:r w:rsidR="000B1931" w:rsidRPr="0024499F">
        <w:t>, а также сферы услуг (социальных, бытовых).</w:t>
      </w:r>
    </w:p>
    <w:p w14:paraId="5FA0635F" w14:textId="565BC547" w:rsidR="004C08AA" w:rsidRPr="0024499F" w:rsidRDefault="004C08AA" w:rsidP="00A93D7F">
      <w:r w:rsidRPr="0024499F">
        <w:t xml:space="preserve">Использование инновационных подходов в рамках сценария приведет к увеличению ассортимента и объемов производства продовольственных и промышленных товаров, ориентированных на рынки Ханты-мансийского автономного округа и соседних регионов. Внедрение ресурсосберегающих технологий позволит снизить производственные издержки и повысить конкурентоспособность продукции предприятий района, а также обеспечить доступность качественных жилищно-коммунальных услуг на территории района. Образовательные и здоровьесберегающие инновации позволят создать условия для всестороннего развития личности и формирования высококвалифицированной рабочей силы. </w:t>
      </w:r>
    </w:p>
    <w:p w14:paraId="5F0A50ED" w14:textId="08EC79BA" w:rsidR="000B1931" w:rsidRPr="0024499F" w:rsidRDefault="004C08AA" w:rsidP="00A93D7F">
      <w:r w:rsidRPr="0024499F">
        <w:t>Инновационный сценарий социально-экономического развития Нефтеюганского района выбран в качестве базового. Он предполагает использование более сложной модели государственного и корпоративного управления, связан с инвестированием в высокотехнологичные проекты и развитие человеческого капитала. Инновационный сценарий базируется на трансформации воздействия инновационных факторов в основной источник устойчивости экономического роста и повышения эффективности использования имеющихся ресурсов, что в итоге позволит улучшить все основные социально-экономические характеристики развития.</w:t>
      </w:r>
    </w:p>
    <w:p w14:paraId="5606D445" w14:textId="69BE67C7" w:rsidR="000B1931" w:rsidRDefault="000B1931" w:rsidP="00A93D7F">
      <w:r w:rsidRPr="0024499F">
        <w:t>Механизмами, обеспечивающими внедрение инновационных подходов в экономику, станет концепция бережливого производства с ее императивами теплоэнергосбережения и эффективности; проектное управление и проектный подход в государстве</w:t>
      </w:r>
      <w:r w:rsidR="004C08AA" w:rsidRPr="0024499F">
        <w:t>нном и муниципальном управлении</w:t>
      </w:r>
      <w:r w:rsidRPr="0024499F">
        <w:t xml:space="preserve">; институты гражданского общества, призванные предельно демократизировать процессы разработки и внедрения </w:t>
      </w:r>
      <w:r w:rsidR="004C08AA" w:rsidRPr="0024499F">
        <w:t>инноваций</w:t>
      </w:r>
      <w:r w:rsidRPr="0024499F">
        <w:t xml:space="preserve">. </w:t>
      </w:r>
    </w:p>
    <w:p w14:paraId="532E0818" w14:textId="77777777" w:rsidR="00296CCE" w:rsidRDefault="00296CCE" w:rsidP="00A93D7F"/>
    <w:p w14:paraId="27F965F3" w14:textId="77777777" w:rsidR="00296CCE" w:rsidRPr="0024499F" w:rsidRDefault="00296CCE" w:rsidP="00A93D7F"/>
    <w:p w14:paraId="26515DF4" w14:textId="77777777" w:rsidR="000B1931" w:rsidRDefault="000B1931" w:rsidP="00A93D7F"/>
    <w:p w14:paraId="5C0557BD" w14:textId="77777777" w:rsidR="00CB7873" w:rsidRPr="004D5898" w:rsidRDefault="00CB7873" w:rsidP="00A93D7F">
      <w:pPr>
        <w:pStyle w:val="1"/>
      </w:pPr>
      <w:r w:rsidRPr="004D5898">
        <w:br w:type="column"/>
      </w:r>
      <w:bookmarkStart w:id="10" w:name="_Toc503913870"/>
      <w:bookmarkStart w:id="11" w:name="_Toc504055101"/>
      <w:r w:rsidRPr="004D5898">
        <w:lastRenderedPageBreak/>
        <w:t>ДОЛГОСРОЧНЫЕ ПРИОРИТЕТНЫЕ НАПРАВЛЕНИЯ РАЗВИТИЯ РАЙОНА В РАМКАХ ВЫБРАННОГО СЦЕНАРИЯ НА ПЕРИОД ДО 2030 ГОДА</w:t>
      </w:r>
      <w:bookmarkEnd w:id="10"/>
      <w:bookmarkEnd w:id="11"/>
    </w:p>
    <w:p w14:paraId="5A440507" w14:textId="77777777" w:rsidR="00982471" w:rsidRDefault="00982471" w:rsidP="00A93D7F"/>
    <w:p w14:paraId="5CF85681" w14:textId="77777777" w:rsidR="00043D92" w:rsidRPr="00B008CB" w:rsidRDefault="00043D92" w:rsidP="00A93D7F">
      <w:pPr>
        <w:pStyle w:val="2"/>
      </w:pPr>
      <w:bookmarkStart w:id="12" w:name="_Toc472063749"/>
      <w:bookmarkStart w:id="13" w:name="_Toc475456567"/>
      <w:bookmarkStart w:id="14" w:name="_Toc503913871"/>
      <w:bookmarkStart w:id="15" w:name="_Toc504055102"/>
      <w:r w:rsidRPr="00B008CB">
        <w:t xml:space="preserve">Миссия, стратегическая цель, задачи и приоритетные направления социально-экономического </w:t>
      </w:r>
      <w:bookmarkEnd w:id="12"/>
      <w:bookmarkEnd w:id="13"/>
      <w:r w:rsidRPr="00B008CB">
        <w:t>развития</w:t>
      </w:r>
      <w:bookmarkEnd w:id="14"/>
      <w:bookmarkEnd w:id="15"/>
    </w:p>
    <w:p w14:paraId="7F3986E1" w14:textId="77777777" w:rsidR="00043D92" w:rsidRDefault="00043D92" w:rsidP="00A93D7F"/>
    <w:p w14:paraId="46297399" w14:textId="77777777" w:rsidR="006307A5" w:rsidRPr="00A532C7" w:rsidRDefault="006307A5" w:rsidP="006307A5">
      <w:r w:rsidRPr="00A532C7">
        <w:t xml:space="preserve">Центральным объектом внимания настоящей Стратегии является человек. В современных условиях качество человеческого капитала и эффективность реализации человеческого потенциала являются ключевыми показателями конкурентоспособности территории. Только на их базе можно обеспечить устойчивый экономический рост. </w:t>
      </w:r>
    </w:p>
    <w:p w14:paraId="3F448DBF" w14:textId="77777777" w:rsidR="006307A5" w:rsidRPr="00A532C7" w:rsidRDefault="006307A5" w:rsidP="006307A5">
      <w:r w:rsidRPr="00A532C7">
        <w:t xml:space="preserve">В данной парадигме основной идеей развития муниципального образования становится повышение его привлекательности для жителей, формирование центров их удержания и точек притяжения.  </w:t>
      </w:r>
    </w:p>
    <w:p w14:paraId="43FEB812" w14:textId="77777777" w:rsidR="006307A5" w:rsidRPr="00A532C7" w:rsidRDefault="006307A5" w:rsidP="006307A5">
      <w:r w:rsidRPr="00A532C7">
        <w:t xml:space="preserve">Нефтеюганский район обладает рядом объективных конкурентных преимуществ. Главные среди них: </w:t>
      </w:r>
    </w:p>
    <w:p w14:paraId="1DE862A8" w14:textId="77777777" w:rsidR="006307A5" w:rsidRPr="00A532C7" w:rsidRDefault="006307A5" w:rsidP="006307A5">
      <w:pPr>
        <w:pStyle w:val="a0"/>
        <w:numPr>
          <w:ilvl w:val="0"/>
          <w:numId w:val="94"/>
        </w:numPr>
        <w:rPr>
          <w:lang w:eastAsia="en-US"/>
        </w:rPr>
      </w:pPr>
      <w:r w:rsidRPr="00A532C7">
        <w:rPr>
          <w:lang w:eastAsia="en-US"/>
        </w:rPr>
        <w:t>высокий природно-ресурсный потенциал для развития промышленного производства и ведения определенных видов сельскохозяйственной деятельности;</w:t>
      </w:r>
    </w:p>
    <w:p w14:paraId="771D91E2" w14:textId="5D7229D1" w:rsidR="006307A5" w:rsidRPr="00A532C7" w:rsidRDefault="006307A5" w:rsidP="006307A5">
      <w:pPr>
        <w:pStyle w:val="a0"/>
        <w:numPr>
          <w:ilvl w:val="0"/>
          <w:numId w:val="94"/>
        </w:numPr>
      </w:pPr>
      <w:r w:rsidRPr="00A532C7">
        <w:t>выгодное географическое</w:t>
      </w:r>
      <w:r>
        <w:t xml:space="preserve"> расположение и наличие инфраст</w:t>
      </w:r>
      <w:r w:rsidRPr="00A532C7">
        <w:t>р</w:t>
      </w:r>
      <w:r>
        <w:t>у</w:t>
      </w:r>
      <w:r w:rsidRPr="00A532C7">
        <w:t xml:space="preserve">ктуры для </w:t>
      </w:r>
      <w:r>
        <w:t>формирования транс</w:t>
      </w:r>
      <w:r w:rsidRPr="00A532C7">
        <w:t>п</w:t>
      </w:r>
      <w:r>
        <w:t>о</w:t>
      </w:r>
      <w:r w:rsidRPr="00A532C7">
        <w:t>ртного узла;</w:t>
      </w:r>
    </w:p>
    <w:p w14:paraId="4472768C" w14:textId="77777777" w:rsidR="006307A5" w:rsidRPr="00A532C7" w:rsidRDefault="006307A5" w:rsidP="006307A5">
      <w:pPr>
        <w:pStyle w:val="a0"/>
        <w:numPr>
          <w:ilvl w:val="0"/>
          <w:numId w:val="94"/>
        </w:numPr>
      </w:pPr>
      <w:r w:rsidRPr="00A532C7">
        <w:t>высокая доля экономически активного населения (боле 90% трудоспособного возраста)</w:t>
      </w:r>
    </w:p>
    <w:p w14:paraId="763AC4FA" w14:textId="77777777" w:rsidR="006307A5" w:rsidRPr="00A532C7" w:rsidRDefault="006307A5" w:rsidP="006307A5">
      <w:pPr>
        <w:pStyle w:val="a0"/>
        <w:numPr>
          <w:ilvl w:val="0"/>
          <w:numId w:val="94"/>
        </w:numPr>
      </w:pPr>
      <w:r w:rsidRPr="00A532C7">
        <w:t>наличие крупных предприятий в отрасли нефтедобычи и нефтегазового машиностроения;</w:t>
      </w:r>
    </w:p>
    <w:p w14:paraId="47A3AF25" w14:textId="77777777" w:rsidR="006307A5" w:rsidRPr="00A532C7" w:rsidRDefault="006307A5" w:rsidP="006307A5">
      <w:pPr>
        <w:pStyle w:val="a0"/>
        <w:numPr>
          <w:ilvl w:val="0"/>
          <w:numId w:val="94"/>
        </w:numPr>
      </w:pPr>
      <w:r w:rsidRPr="00A532C7">
        <w:t xml:space="preserve">высокий уровень качества дошкольного и среднего образования. </w:t>
      </w:r>
    </w:p>
    <w:p w14:paraId="6D82EFE3" w14:textId="77777777" w:rsidR="006307A5" w:rsidRPr="00A532C7" w:rsidRDefault="006307A5" w:rsidP="006307A5"/>
    <w:p w14:paraId="5339C250" w14:textId="77777777" w:rsidR="006307A5" w:rsidRPr="00A532C7" w:rsidRDefault="006307A5" w:rsidP="006307A5">
      <w:pPr>
        <w:ind w:firstLine="709"/>
      </w:pPr>
      <w:r w:rsidRPr="00A532C7">
        <w:t xml:space="preserve">Парадигма человекоцентричности и опора на объективные конкурентные преимущества – два ключевых принципа, ложащихся в основу формулирования миссии Нефтеюганского района, стратегических цели и задач.  </w:t>
      </w:r>
    </w:p>
    <w:p w14:paraId="69E051CC" w14:textId="77777777" w:rsidR="006307A5" w:rsidRPr="00A532C7" w:rsidRDefault="006307A5" w:rsidP="006307A5">
      <w:pPr>
        <w:ind w:firstLine="709"/>
      </w:pPr>
      <w:r w:rsidRPr="00A532C7">
        <w:t xml:space="preserve">В рамках настоящей Стратегии миссия Нефтеюганского района формулируется следующим образом – создание в Ханты-Мансийском автономном округе и Западной Сибири мощного центра компетенций в области нефтепереработки и сельского хозяйства.  </w:t>
      </w:r>
    </w:p>
    <w:p w14:paraId="5DAEFE09" w14:textId="0C6C3FB1" w:rsidR="006307A5" w:rsidRPr="00A532C7" w:rsidRDefault="006307A5" w:rsidP="006307A5">
      <w:r w:rsidRPr="00A532C7">
        <w:t>Генеральная цель развития Нефтеюганского района – формирование среды, комфортной для проживания, способствующей максимально эффективной реализации человеческого потенциала в сфер</w:t>
      </w:r>
      <w:r>
        <w:t xml:space="preserve">ах нефтепереработки, сельского </w:t>
      </w:r>
      <w:r w:rsidRPr="00A532C7">
        <w:t>хозяйства и логистики, поощряющей пред</w:t>
      </w:r>
      <w:r>
        <w:t>принимательскую и инновационную</w:t>
      </w:r>
      <w:r w:rsidRPr="00A532C7">
        <w:t xml:space="preserve"> инициативу.   </w:t>
      </w:r>
    </w:p>
    <w:p w14:paraId="492B2218" w14:textId="77777777" w:rsidR="006307A5" w:rsidRDefault="006307A5" w:rsidP="006307A5">
      <w:pPr>
        <w:rPr>
          <w:b/>
        </w:rPr>
      </w:pPr>
    </w:p>
    <w:p w14:paraId="1D5493EF" w14:textId="77777777" w:rsidR="006307A5" w:rsidRPr="00A532C7" w:rsidRDefault="006307A5" w:rsidP="006307A5">
      <w:pPr>
        <w:rPr>
          <w:b/>
        </w:rPr>
      </w:pPr>
      <w:r w:rsidRPr="00A532C7">
        <w:rPr>
          <w:b/>
        </w:rPr>
        <w:t xml:space="preserve">Стратегические задачи: </w:t>
      </w:r>
    </w:p>
    <w:p w14:paraId="50BC0A8B" w14:textId="77777777" w:rsidR="006307A5" w:rsidRPr="00A532C7" w:rsidRDefault="006307A5" w:rsidP="006307A5">
      <w:pPr>
        <w:pStyle w:val="a0"/>
        <w:numPr>
          <w:ilvl w:val="0"/>
          <w:numId w:val="95"/>
        </w:numPr>
      </w:pPr>
      <w:r w:rsidRPr="00A532C7">
        <w:t>Формирование комфортной среды обитания, развитие общественных пространств;</w:t>
      </w:r>
    </w:p>
    <w:p w14:paraId="58ED64B7" w14:textId="77777777" w:rsidR="006307A5" w:rsidRPr="00A532C7" w:rsidRDefault="006307A5" w:rsidP="006307A5">
      <w:pPr>
        <w:pStyle w:val="a0"/>
        <w:numPr>
          <w:ilvl w:val="0"/>
          <w:numId w:val="95"/>
        </w:numPr>
      </w:pPr>
      <w:r w:rsidRPr="00A532C7">
        <w:t>Развитие сек</w:t>
      </w:r>
      <w:r>
        <w:t>тора потребительских услуг, повы</w:t>
      </w:r>
      <w:r w:rsidRPr="00A532C7">
        <w:t>ше</w:t>
      </w:r>
      <w:r>
        <w:t>ние их качества и разнообразия;</w:t>
      </w:r>
    </w:p>
    <w:p w14:paraId="263DA1BD" w14:textId="77777777" w:rsidR="006307A5" w:rsidRPr="00A532C7" w:rsidRDefault="006307A5" w:rsidP="006307A5">
      <w:pPr>
        <w:pStyle w:val="a0"/>
        <w:numPr>
          <w:ilvl w:val="0"/>
          <w:numId w:val="95"/>
        </w:numPr>
      </w:pPr>
      <w:r w:rsidRPr="00A532C7">
        <w:t>Формирование системы здравоохранения, основанной на использовании цифровых технологий, способ</w:t>
      </w:r>
      <w:r>
        <w:t>с</w:t>
      </w:r>
      <w:r w:rsidRPr="00A532C7">
        <w:t xml:space="preserve">твующей ранней диагностике заболеваний и оказанию </w:t>
      </w:r>
      <w:r>
        <w:t>качественной медицинской помощи;</w:t>
      </w:r>
    </w:p>
    <w:p w14:paraId="2572A0A9" w14:textId="77777777" w:rsidR="006307A5" w:rsidRPr="00A532C7" w:rsidRDefault="006307A5" w:rsidP="006307A5">
      <w:pPr>
        <w:pStyle w:val="a0"/>
        <w:numPr>
          <w:ilvl w:val="0"/>
          <w:numId w:val="95"/>
        </w:numPr>
      </w:pPr>
      <w:r>
        <w:t>Поощ</w:t>
      </w:r>
      <w:r w:rsidRPr="00A532C7">
        <w:t>рение и пропаганда здорового</w:t>
      </w:r>
      <w:r>
        <w:t xml:space="preserve"> </w:t>
      </w:r>
      <w:r w:rsidRPr="00A532C7">
        <w:t>образа жизни;</w:t>
      </w:r>
    </w:p>
    <w:p w14:paraId="398A346F" w14:textId="77777777" w:rsidR="006307A5" w:rsidRPr="00A532C7" w:rsidRDefault="006307A5" w:rsidP="006307A5">
      <w:pPr>
        <w:pStyle w:val="a0"/>
        <w:numPr>
          <w:ilvl w:val="0"/>
          <w:numId w:val="95"/>
        </w:numPr>
      </w:pPr>
      <w:r w:rsidRPr="00A532C7">
        <w:lastRenderedPageBreak/>
        <w:t>Формирование сист</w:t>
      </w:r>
      <w:r>
        <w:t>е</w:t>
      </w:r>
      <w:r w:rsidRPr="00A532C7">
        <w:t>мы дошкольного и среднего образования, способ</w:t>
      </w:r>
      <w:r>
        <w:t>с</w:t>
      </w:r>
      <w:r w:rsidRPr="00A532C7">
        <w:t>твующей выработке компетенций в сфере нефтепереработки и сельског</w:t>
      </w:r>
      <w:r>
        <w:t>о хозяйства, позвол</w:t>
      </w:r>
      <w:r w:rsidRPr="00A532C7">
        <w:t>яющей воспитывать пр</w:t>
      </w:r>
      <w:r>
        <w:t>едпринимательский дух;</w:t>
      </w:r>
    </w:p>
    <w:p w14:paraId="060A5348" w14:textId="77777777" w:rsidR="006307A5" w:rsidRPr="00A532C7" w:rsidRDefault="006307A5" w:rsidP="006307A5">
      <w:pPr>
        <w:pStyle w:val="a0"/>
        <w:numPr>
          <w:ilvl w:val="0"/>
          <w:numId w:val="95"/>
        </w:numPr>
      </w:pPr>
      <w:r w:rsidRPr="00A532C7">
        <w:t>Поддержка развития нефтеперерабатывающего сектора, поддержка инвестиционных проектов, направленных на производства продуктов из нефти с высокой добавле</w:t>
      </w:r>
      <w:r>
        <w:t>н</w:t>
      </w:r>
      <w:r w:rsidRPr="00A532C7">
        <w:t>ной стоимостью;</w:t>
      </w:r>
    </w:p>
    <w:p w14:paraId="5529932C" w14:textId="21E7298F" w:rsidR="006307A5" w:rsidRPr="00A532C7" w:rsidRDefault="006307A5" w:rsidP="006307A5">
      <w:pPr>
        <w:pStyle w:val="a0"/>
        <w:numPr>
          <w:ilvl w:val="0"/>
          <w:numId w:val="95"/>
        </w:numPr>
      </w:pPr>
      <w:r w:rsidRPr="00A532C7">
        <w:t>Поддержка сельского хозяйства и инвестицио</w:t>
      </w:r>
      <w:r>
        <w:t>н</w:t>
      </w:r>
      <w:r w:rsidRPr="00A532C7">
        <w:t>ных</w:t>
      </w:r>
      <w:r>
        <w:t xml:space="preserve"> </w:t>
      </w:r>
      <w:r w:rsidRPr="00A532C7">
        <w:t>проектов в области переработки сельскохозяйств</w:t>
      </w:r>
      <w:r>
        <w:t>е</w:t>
      </w:r>
      <w:r w:rsidRPr="00A532C7">
        <w:t>нно</w:t>
      </w:r>
      <w:r>
        <w:t>й продукции;</w:t>
      </w:r>
    </w:p>
    <w:p w14:paraId="36FFEAA8" w14:textId="77777777" w:rsidR="006307A5" w:rsidRPr="00A532C7" w:rsidRDefault="006307A5" w:rsidP="006307A5">
      <w:pPr>
        <w:pStyle w:val="a0"/>
        <w:numPr>
          <w:ilvl w:val="0"/>
          <w:numId w:val="95"/>
        </w:numPr>
      </w:pPr>
      <w:r>
        <w:t>Формирование транс</w:t>
      </w:r>
      <w:r w:rsidRPr="00A532C7">
        <w:t>п</w:t>
      </w:r>
      <w:r>
        <w:t>о</w:t>
      </w:r>
      <w:r w:rsidRPr="00A532C7">
        <w:t xml:space="preserve">ртно-логистического хаба регионального значения. </w:t>
      </w:r>
    </w:p>
    <w:p w14:paraId="12DA098C" w14:textId="77777777" w:rsidR="006307A5" w:rsidRPr="00A532C7" w:rsidRDefault="006307A5" w:rsidP="006307A5">
      <w:pPr>
        <w:pStyle w:val="a0"/>
        <w:numPr>
          <w:ilvl w:val="0"/>
          <w:numId w:val="95"/>
        </w:numPr>
      </w:pPr>
      <w:r w:rsidRPr="00A532C7">
        <w:t>Способ</w:t>
      </w:r>
      <w:r>
        <w:t>с</w:t>
      </w:r>
      <w:r w:rsidRPr="00A532C7">
        <w:t>тво</w:t>
      </w:r>
      <w:r>
        <w:t>вание диверсификации структ</w:t>
      </w:r>
      <w:r w:rsidRPr="00A532C7">
        <w:t>у</w:t>
      </w:r>
      <w:r>
        <w:t>р</w:t>
      </w:r>
      <w:r w:rsidRPr="00A532C7">
        <w:t>ы экономики. Поддержка разв</w:t>
      </w:r>
      <w:r>
        <w:t>ития перерабатывающих отраслей;</w:t>
      </w:r>
    </w:p>
    <w:p w14:paraId="51AD0385" w14:textId="77777777" w:rsidR="006307A5" w:rsidRPr="00A532C7" w:rsidRDefault="006307A5" w:rsidP="006307A5">
      <w:pPr>
        <w:pStyle w:val="a0"/>
        <w:numPr>
          <w:ilvl w:val="0"/>
          <w:numId w:val="95"/>
        </w:numPr>
      </w:pPr>
      <w:r w:rsidRPr="00A532C7">
        <w:t>Поддержка развития микро- и малого бизнеса как производственного, так и непрои</w:t>
      </w:r>
      <w:r>
        <w:t>зводственного. Создание инфраст</w:t>
      </w:r>
      <w:r w:rsidRPr="00A532C7">
        <w:t>р</w:t>
      </w:r>
      <w:r>
        <w:t>у</w:t>
      </w:r>
      <w:r w:rsidRPr="00A532C7">
        <w:t>ктуры для ускоренного роста новых компаний</w:t>
      </w:r>
      <w:r>
        <w:t>;</w:t>
      </w:r>
    </w:p>
    <w:p w14:paraId="756CDFFA" w14:textId="77777777" w:rsidR="006307A5" w:rsidRPr="00A532C7" w:rsidRDefault="006307A5" w:rsidP="006307A5">
      <w:pPr>
        <w:pStyle w:val="a0"/>
        <w:numPr>
          <w:ilvl w:val="0"/>
          <w:numId w:val="95"/>
        </w:numPr>
      </w:pPr>
      <w:r>
        <w:t>Поддержка проектов, предполага</w:t>
      </w:r>
      <w:r w:rsidRPr="00A532C7">
        <w:t>ющих внедрение инновационных подходов в нефтепереработке и сельском хо</w:t>
      </w:r>
      <w:r>
        <w:t>з</w:t>
      </w:r>
      <w:r w:rsidRPr="00A532C7">
        <w:t xml:space="preserve">яйстве. </w:t>
      </w:r>
    </w:p>
    <w:p w14:paraId="6CD971C7" w14:textId="77777777" w:rsidR="006307A5" w:rsidRDefault="006307A5" w:rsidP="00A93D7F"/>
    <w:p w14:paraId="78B26D79" w14:textId="5313746B" w:rsidR="00781203" w:rsidRDefault="00480706" w:rsidP="00A93D7F">
      <w:r>
        <w:t>Приоритетами социально-экономического развития Нефтеюганского района</w:t>
      </w:r>
      <w:r w:rsidR="00CF4C86">
        <w:t xml:space="preserve"> </w:t>
      </w:r>
      <w:r w:rsidR="006257CC">
        <w:t>на долгосрочную перспективу являются:</w:t>
      </w:r>
    </w:p>
    <w:p w14:paraId="7EAA11EA" w14:textId="2FE12DCA" w:rsidR="00CA1D4E" w:rsidRPr="00B008CB" w:rsidRDefault="00CA1D4E" w:rsidP="00B008CB">
      <w:pPr>
        <w:pStyle w:val="a0"/>
        <w:numPr>
          <w:ilvl w:val="0"/>
          <w:numId w:val="90"/>
        </w:numPr>
        <w:rPr>
          <w:shd w:val="clear" w:color="auto" w:fill="FFFFFF"/>
        </w:rPr>
      </w:pPr>
      <w:r>
        <w:t>«</w:t>
      </w:r>
      <w:r w:rsidR="001F1295" w:rsidRPr="00B008CB">
        <w:rPr>
          <w:shd w:val="clear" w:color="auto" w:fill="FFFFFF"/>
        </w:rPr>
        <w:t>Накопление и сохранение человеческого капитала»</w:t>
      </w:r>
      <w:r w:rsidR="00BE6F3C">
        <w:rPr>
          <w:shd w:val="clear" w:color="auto" w:fill="FFFFFF"/>
        </w:rPr>
        <w:t>;</w:t>
      </w:r>
    </w:p>
    <w:p w14:paraId="3669CDAE" w14:textId="6CA65EBE" w:rsidR="001F1295" w:rsidRPr="00B008CB" w:rsidRDefault="001F1295" w:rsidP="00B008CB">
      <w:pPr>
        <w:pStyle w:val="a0"/>
        <w:numPr>
          <w:ilvl w:val="0"/>
          <w:numId w:val="90"/>
        </w:numPr>
        <w:rPr>
          <w:shd w:val="clear" w:color="auto" w:fill="FFFFFF"/>
        </w:rPr>
      </w:pPr>
      <w:r w:rsidRPr="00B008CB">
        <w:rPr>
          <w:shd w:val="clear" w:color="auto" w:fill="FFFFFF"/>
        </w:rPr>
        <w:t>«Устойчивый экономический комплекс»</w:t>
      </w:r>
      <w:r w:rsidR="00BE6F3C">
        <w:rPr>
          <w:shd w:val="clear" w:color="auto" w:fill="FFFFFF"/>
        </w:rPr>
        <w:t>;</w:t>
      </w:r>
    </w:p>
    <w:p w14:paraId="68495098" w14:textId="458DA05A" w:rsidR="001F1295" w:rsidRDefault="001F1295" w:rsidP="00B008CB">
      <w:pPr>
        <w:pStyle w:val="a0"/>
        <w:numPr>
          <w:ilvl w:val="0"/>
          <w:numId w:val="90"/>
        </w:numPr>
      </w:pPr>
      <w:r w:rsidRPr="00B008CB">
        <w:rPr>
          <w:shd w:val="clear" w:color="auto" w:fill="FFFFFF"/>
        </w:rPr>
        <w:t>«Сбалансированное пространственное развитие»</w:t>
      </w:r>
      <w:r w:rsidR="00BE6F3C">
        <w:rPr>
          <w:shd w:val="clear" w:color="auto" w:fill="FFFFFF"/>
        </w:rPr>
        <w:t>.</w:t>
      </w:r>
    </w:p>
    <w:p w14:paraId="712A591E" w14:textId="77777777" w:rsidR="00044496" w:rsidRDefault="00044496" w:rsidP="00B008CB">
      <w:pPr>
        <w:ind w:firstLine="0"/>
      </w:pPr>
    </w:p>
    <w:p w14:paraId="45A16ABC" w14:textId="77777777" w:rsidR="00161493" w:rsidRPr="000F77F4" w:rsidRDefault="00161493" w:rsidP="00A93D7F">
      <w:r w:rsidRPr="000F77F4">
        <w:t xml:space="preserve">Целью реализации приоритета «Развитие человеческого капитала и социально-культурной сферы» является создание всех условий для комплексного развития личности и максимального удовлетворения социальных нужд путем предоставления качественных образовательных и социальных услуг с использованием современных технологий, максимального вовлечения жителей района в творческую и культурно-досуговую деятельность, обеспечения возможности для населения вести здоровый образ жизни. </w:t>
      </w:r>
    </w:p>
    <w:p w14:paraId="0CB2E254" w14:textId="77777777" w:rsidR="00161493" w:rsidRPr="000F77F4" w:rsidRDefault="00161493" w:rsidP="00A93D7F"/>
    <w:p w14:paraId="321A211E" w14:textId="77777777" w:rsidR="008747C2" w:rsidRDefault="000F77F4" w:rsidP="008747C2">
      <w:pPr>
        <w:rPr>
          <w:shd w:val="clear" w:color="auto" w:fill="FFFFFF"/>
        </w:rPr>
      </w:pPr>
      <w:r w:rsidRPr="000F77F4">
        <w:rPr>
          <w:color w:val="000000"/>
        </w:rPr>
        <w:t xml:space="preserve">Целью реализации приоритета </w:t>
      </w:r>
      <w:r w:rsidRPr="000F77F4">
        <w:rPr>
          <w:shd w:val="clear" w:color="auto" w:fill="FFFFFF"/>
        </w:rPr>
        <w:t>«Устойчивый экономический комплекс»</w:t>
      </w:r>
      <w:r w:rsidRPr="000F77F4">
        <w:t xml:space="preserve"> является ф</w:t>
      </w:r>
      <w:r w:rsidR="002A011D" w:rsidRPr="000F77F4">
        <w:t>ормирование устойчивого экономического</w:t>
      </w:r>
      <w:r w:rsidR="002A011D" w:rsidRPr="00781203">
        <w:t xml:space="preserve"> комплекса на основе развития новых технологий, повышающих эффективность нефтедобычи, создания более высоких стадий переработки минерально-сырьевых ресурсов и сельскохозяйственной продукции, и постепенного увеличения новых видов производств, ориентированных на удовлетворение спроса в узко сп</w:t>
      </w:r>
      <w:r>
        <w:t>ециализированных рыночных нишах.</w:t>
      </w:r>
    </w:p>
    <w:p w14:paraId="43362788" w14:textId="77777777" w:rsidR="008747C2" w:rsidRDefault="008747C2" w:rsidP="008747C2">
      <w:pPr>
        <w:rPr>
          <w:shd w:val="clear" w:color="auto" w:fill="FFFFFF"/>
        </w:rPr>
      </w:pPr>
    </w:p>
    <w:p w14:paraId="16C4694E" w14:textId="2F755477" w:rsidR="00307AC7" w:rsidRPr="008747C2" w:rsidRDefault="00FB5DC2" w:rsidP="008747C2">
      <w:pPr>
        <w:rPr>
          <w:color w:val="000000" w:themeColor="text1"/>
          <w:shd w:val="clear" w:color="auto" w:fill="FFFFFF"/>
        </w:rPr>
      </w:pPr>
      <w:r w:rsidRPr="008747C2">
        <w:rPr>
          <w:color w:val="000000" w:themeColor="text1"/>
        </w:rPr>
        <w:t xml:space="preserve">Целью реализации приоритета </w:t>
      </w:r>
      <w:r w:rsidRPr="008747C2">
        <w:rPr>
          <w:color w:val="000000" w:themeColor="text1"/>
          <w:shd w:val="clear" w:color="auto" w:fill="FFFFFF"/>
        </w:rPr>
        <w:t>«Сбалансированное пространственное развитие»</w:t>
      </w:r>
      <w:r w:rsidR="00A12102" w:rsidRPr="008747C2">
        <w:rPr>
          <w:color w:val="000000" w:themeColor="text1"/>
          <w:shd w:val="clear" w:color="auto" w:fill="FFFFFF"/>
        </w:rPr>
        <w:t xml:space="preserve"> является </w:t>
      </w:r>
      <w:r w:rsidR="00307AC7" w:rsidRPr="008747C2">
        <w:rPr>
          <w:color w:val="000000" w:themeColor="text1"/>
          <w:shd w:val="clear" w:color="auto" w:fill="FFFFFF"/>
        </w:rPr>
        <w:t xml:space="preserve">заключается в обеспечении </w:t>
      </w:r>
      <w:r w:rsidR="008747C2" w:rsidRPr="008747C2">
        <w:rPr>
          <w:rFonts w:eastAsia="Times New Roman"/>
          <w:color w:val="000000" w:themeColor="text1"/>
          <w:shd w:val="clear" w:color="auto" w:fill="FFFFFF"/>
        </w:rPr>
        <w:t>гармонизации</w:t>
      </w:r>
      <w:r w:rsidR="008747C2" w:rsidRPr="00307AC7">
        <w:rPr>
          <w:rFonts w:eastAsia="Times New Roman"/>
          <w:color w:val="000000" w:themeColor="text1"/>
          <w:shd w:val="clear" w:color="auto" w:fill="FFFFFF"/>
        </w:rPr>
        <w:t xml:space="preserve"> пространственного развития</w:t>
      </w:r>
      <w:r w:rsidR="008747C2" w:rsidRPr="008747C2">
        <w:rPr>
          <w:rFonts w:eastAsia="Times New Roman"/>
          <w:color w:val="000000" w:themeColor="text1"/>
          <w:shd w:val="clear" w:color="auto" w:fill="FFFFFF"/>
        </w:rPr>
        <w:t xml:space="preserve"> городского и сельских поселений</w:t>
      </w:r>
      <w:r w:rsidR="008747C2" w:rsidRPr="00307AC7">
        <w:rPr>
          <w:rFonts w:eastAsia="Times New Roman"/>
          <w:color w:val="000000" w:themeColor="text1"/>
          <w:shd w:val="clear" w:color="auto" w:fill="FFFFFF"/>
        </w:rPr>
        <w:t xml:space="preserve">, сбалансированный и пропорциональный рост экономики и развития социальной сферы населенных пунктов муниципального </w:t>
      </w:r>
      <w:r w:rsidR="008747C2" w:rsidRPr="008747C2">
        <w:rPr>
          <w:rFonts w:eastAsia="Times New Roman"/>
          <w:color w:val="000000" w:themeColor="text1"/>
          <w:shd w:val="clear" w:color="auto" w:fill="FFFFFF"/>
        </w:rPr>
        <w:t>района</w:t>
      </w:r>
      <w:r w:rsidR="008747C2" w:rsidRPr="00307AC7">
        <w:rPr>
          <w:rFonts w:eastAsia="Times New Roman"/>
          <w:color w:val="000000" w:themeColor="text1"/>
          <w:shd w:val="clear" w:color="auto" w:fill="FFFFFF"/>
        </w:rPr>
        <w:t>, поэтапное сокращение различий между ними по важнейшим индикаторам экономической активности и уровня жизни населения.</w:t>
      </w:r>
    </w:p>
    <w:p w14:paraId="2CA6FC0A" w14:textId="3692D307" w:rsidR="00FB5DC2" w:rsidRDefault="00FB5DC2" w:rsidP="00FB5DC2"/>
    <w:p w14:paraId="4BDD2CBC" w14:textId="2B861ECB" w:rsidR="00F879F1" w:rsidRDefault="00F879F1" w:rsidP="00FB5DC2">
      <w:pPr>
        <w:rPr>
          <w:shd w:val="clear" w:color="auto" w:fill="FFFFFF"/>
        </w:rPr>
      </w:pPr>
      <w:r>
        <w:t>Приоритет «</w:t>
      </w:r>
      <w:r w:rsidRPr="00B008CB">
        <w:rPr>
          <w:shd w:val="clear" w:color="auto" w:fill="FFFFFF"/>
        </w:rPr>
        <w:t>Накопление и сохранение человеческого капитала</w:t>
      </w:r>
      <w:r>
        <w:rPr>
          <w:shd w:val="clear" w:color="auto" w:fill="FFFFFF"/>
        </w:rPr>
        <w:t>» содержит следующие направления развития социальной сферы и социальных услуг на территории Нефтеюганского района:</w:t>
      </w:r>
    </w:p>
    <w:p w14:paraId="5DC91009" w14:textId="77D800C1" w:rsidR="00F879F1" w:rsidRDefault="00F879F1" w:rsidP="009D02BE">
      <w:pPr>
        <w:pStyle w:val="a0"/>
        <w:numPr>
          <w:ilvl w:val="0"/>
          <w:numId w:val="91"/>
        </w:numPr>
      </w:pPr>
      <w:r>
        <w:t>Доступное здравоохранение</w:t>
      </w:r>
      <w:r w:rsidR="003D68B7">
        <w:t>;</w:t>
      </w:r>
    </w:p>
    <w:p w14:paraId="0168D489" w14:textId="34A1F60F" w:rsidR="00F879F1" w:rsidRDefault="00F879F1" w:rsidP="009D02BE">
      <w:pPr>
        <w:pStyle w:val="a0"/>
        <w:numPr>
          <w:ilvl w:val="0"/>
          <w:numId w:val="91"/>
        </w:numPr>
      </w:pPr>
      <w:r>
        <w:t>Инновационное образование</w:t>
      </w:r>
      <w:r w:rsidR="003D68B7">
        <w:t>;</w:t>
      </w:r>
    </w:p>
    <w:p w14:paraId="2AE07817" w14:textId="4469605C" w:rsidR="00F879F1" w:rsidRDefault="00F879F1" w:rsidP="009D02BE">
      <w:pPr>
        <w:pStyle w:val="a0"/>
        <w:numPr>
          <w:ilvl w:val="0"/>
          <w:numId w:val="91"/>
        </w:numPr>
      </w:pPr>
      <w:r>
        <w:t>Социальная защита и занятость</w:t>
      </w:r>
      <w:r w:rsidR="003D68B7">
        <w:t>;</w:t>
      </w:r>
    </w:p>
    <w:p w14:paraId="457E9B03" w14:textId="0BC04570" w:rsidR="00F879F1" w:rsidRDefault="00F879F1" w:rsidP="009D02BE">
      <w:pPr>
        <w:pStyle w:val="a0"/>
        <w:numPr>
          <w:ilvl w:val="0"/>
          <w:numId w:val="91"/>
        </w:numPr>
      </w:pPr>
      <w:r>
        <w:lastRenderedPageBreak/>
        <w:t>Культура и спорт</w:t>
      </w:r>
      <w:r w:rsidR="003D68B7">
        <w:t>.</w:t>
      </w:r>
    </w:p>
    <w:p w14:paraId="19A28B22" w14:textId="77777777" w:rsidR="003D68B7" w:rsidRDefault="003D68B7" w:rsidP="00FB5DC2"/>
    <w:p w14:paraId="6A3481FF" w14:textId="301FCFDA" w:rsidR="003D68B7" w:rsidRDefault="003D68B7" w:rsidP="00FB5DC2">
      <w:pPr>
        <w:rPr>
          <w:shd w:val="clear" w:color="auto" w:fill="FFFFFF"/>
        </w:rPr>
      </w:pPr>
      <w:r>
        <w:t>Приоритет «</w:t>
      </w:r>
      <w:r w:rsidRPr="00B008CB">
        <w:rPr>
          <w:shd w:val="clear" w:color="auto" w:fill="FFFFFF"/>
        </w:rPr>
        <w:t>Устойчивый экономический комплекс</w:t>
      </w:r>
      <w:r>
        <w:rPr>
          <w:shd w:val="clear" w:color="auto" w:fill="FFFFFF"/>
        </w:rPr>
        <w:t>» будет реализован в разрезе следующих направлений:</w:t>
      </w:r>
    </w:p>
    <w:p w14:paraId="22F16E2C" w14:textId="56EBBE4C" w:rsidR="009D02BE" w:rsidRDefault="009D02BE" w:rsidP="009D02BE">
      <w:pPr>
        <w:pStyle w:val="a0"/>
        <w:numPr>
          <w:ilvl w:val="0"/>
          <w:numId w:val="92"/>
        </w:numPr>
      </w:pPr>
      <w:r w:rsidRPr="002F0084">
        <w:t>Развитие нефтегазодобычи и нефтегазопереработки</w:t>
      </w:r>
      <w:r>
        <w:t>;</w:t>
      </w:r>
    </w:p>
    <w:p w14:paraId="231C517F" w14:textId="2CF04300" w:rsidR="009D02BE" w:rsidRDefault="009D02BE" w:rsidP="009D02BE">
      <w:pPr>
        <w:pStyle w:val="a0"/>
        <w:numPr>
          <w:ilvl w:val="0"/>
          <w:numId w:val="92"/>
        </w:numPr>
      </w:pPr>
      <w:r w:rsidRPr="002F0084">
        <w:t>Диверсификация промышленного производства Нефтеюганского района</w:t>
      </w:r>
      <w:r>
        <w:t>;</w:t>
      </w:r>
    </w:p>
    <w:p w14:paraId="106F41DE" w14:textId="1847253A" w:rsidR="009D02BE" w:rsidRDefault="009D02BE" w:rsidP="009D02BE">
      <w:pPr>
        <w:pStyle w:val="a0"/>
        <w:numPr>
          <w:ilvl w:val="0"/>
          <w:numId w:val="92"/>
        </w:numPr>
      </w:pPr>
      <w:r w:rsidRPr="002F0084">
        <w:t xml:space="preserve">Развитие агропромышленного </w:t>
      </w:r>
      <w:r>
        <w:t>комплекса;</w:t>
      </w:r>
    </w:p>
    <w:p w14:paraId="173E9521" w14:textId="7C6BEDD2" w:rsidR="009D02BE" w:rsidRDefault="009D02BE" w:rsidP="009D02BE">
      <w:pPr>
        <w:pStyle w:val="a0"/>
        <w:numPr>
          <w:ilvl w:val="0"/>
          <w:numId w:val="92"/>
        </w:numPr>
      </w:pPr>
      <w:r>
        <w:t>Развитие потребительского рынка и сферы услуг.</w:t>
      </w:r>
    </w:p>
    <w:p w14:paraId="43B99885" w14:textId="77777777" w:rsidR="009D02BE" w:rsidRDefault="009D02BE" w:rsidP="009D02BE"/>
    <w:p w14:paraId="421D08C6" w14:textId="51D6E2D3" w:rsidR="009D02BE" w:rsidRDefault="009D02BE" w:rsidP="009D02BE">
      <w:pPr>
        <w:rPr>
          <w:shd w:val="clear" w:color="auto" w:fill="FFFFFF"/>
        </w:rPr>
      </w:pPr>
      <w:r>
        <w:t>Приоритет «</w:t>
      </w:r>
      <w:r w:rsidRPr="00B008CB">
        <w:rPr>
          <w:shd w:val="clear" w:color="auto" w:fill="FFFFFF"/>
        </w:rPr>
        <w:t>Сбалансированное пространственное развитие</w:t>
      </w:r>
      <w:r>
        <w:rPr>
          <w:shd w:val="clear" w:color="auto" w:fill="FFFFFF"/>
        </w:rPr>
        <w:t>» содержит следующие направления развития жилищно-коммунальной и инфраструктурной сфер Нефтеюганского района:</w:t>
      </w:r>
    </w:p>
    <w:p w14:paraId="0A6BCD0B" w14:textId="3A39C908" w:rsidR="009D02BE" w:rsidRDefault="009D02BE" w:rsidP="00797520">
      <w:pPr>
        <w:pStyle w:val="a0"/>
        <w:numPr>
          <w:ilvl w:val="0"/>
          <w:numId w:val="93"/>
        </w:numPr>
      </w:pPr>
      <w:r w:rsidRPr="008B2CB1">
        <w:t>Повышение качества и доступности жилищно-коммунальных услу</w:t>
      </w:r>
      <w:r>
        <w:t>г;</w:t>
      </w:r>
    </w:p>
    <w:p w14:paraId="64A5C31C" w14:textId="55E1FBB7" w:rsidR="009D02BE" w:rsidRDefault="009D02BE" w:rsidP="00797520">
      <w:pPr>
        <w:pStyle w:val="a0"/>
        <w:numPr>
          <w:ilvl w:val="0"/>
          <w:numId w:val="93"/>
        </w:numPr>
      </w:pPr>
      <w:r>
        <w:t xml:space="preserve">Обеспечение </w:t>
      </w:r>
      <w:r w:rsidRPr="009C48D2">
        <w:t>рационального природопользования и экологической безопасности</w:t>
      </w:r>
      <w:r>
        <w:t>;</w:t>
      </w:r>
    </w:p>
    <w:p w14:paraId="432EBD31" w14:textId="731CD159" w:rsidR="00797520" w:rsidRDefault="009D02BE" w:rsidP="00797520">
      <w:pPr>
        <w:pStyle w:val="a0"/>
        <w:numPr>
          <w:ilvl w:val="0"/>
          <w:numId w:val="93"/>
        </w:numPr>
      </w:pPr>
      <w:r>
        <w:t>Пространственное развитие</w:t>
      </w:r>
      <w:r w:rsidRPr="009C63B0">
        <w:t xml:space="preserve"> городского и сельских поселений Нефтеюганского района</w:t>
      </w:r>
      <w:r>
        <w:t>.</w:t>
      </w:r>
    </w:p>
    <w:p w14:paraId="3398274A" w14:textId="77777777" w:rsidR="00797520" w:rsidRDefault="00797520" w:rsidP="00797520"/>
    <w:p w14:paraId="666671B7" w14:textId="260C90E1" w:rsidR="00F879F1" w:rsidRDefault="00797520" w:rsidP="00797520">
      <w:r>
        <w:t xml:space="preserve">Каждое направление нацелено на реализацию конкретных задач, специфических для данной отрасли или сферы деятельности. Решение поставленных задач достигается посредством реализации комплексов мероприятий и отдельных мер, способствующих ускоренному, сбалансированному развитию </w:t>
      </w:r>
      <w:r w:rsidR="0037764B">
        <w:t>экономики, социальной сферы и территории Нефтеюганского района.</w:t>
      </w:r>
    </w:p>
    <w:p w14:paraId="4B1EC5EE" w14:textId="77777777" w:rsidR="0037764B" w:rsidRDefault="0037764B" w:rsidP="00797520"/>
    <w:p w14:paraId="3E1B7AF0" w14:textId="77777777" w:rsidR="00043D92" w:rsidRDefault="00043D92" w:rsidP="0037764B">
      <w:pPr>
        <w:ind w:firstLine="0"/>
      </w:pPr>
    </w:p>
    <w:p w14:paraId="3F482E7E" w14:textId="56CBC077" w:rsidR="00043D92" w:rsidRDefault="008B1EFD" w:rsidP="00A93D7F">
      <w:pPr>
        <w:pStyle w:val="2"/>
      </w:pPr>
      <w:bookmarkStart w:id="16" w:name="_Toc503913872"/>
      <w:bookmarkStart w:id="17" w:name="_Toc504055103"/>
      <w:r>
        <w:t>Приоритеты</w:t>
      </w:r>
      <w:r w:rsidR="00043D92">
        <w:t xml:space="preserve"> социально-экономического развития</w:t>
      </w:r>
      <w:bookmarkEnd w:id="16"/>
      <w:r>
        <w:t xml:space="preserve"> Нефтеюганского района</w:t>
      </w:r>
      <w:bookmarkEnd w:id="17"/>
    </w:p>
    <w:p w14:paraId="4B5DD3BA" w14:textId="77777777" w:rsidR="00982471" w:rsidRPr="00982471" w:rsidRDefault="00982471" w:rsidP="00A93D7F"/>
    <w:p w14:paraId="3EA1C55D" w14:textId="598FF3D1" w:rsidR="00480B21" w:rsidRPr="00480B21" w:rsidRDefault="00480B21" w:rsidP="00A93D7F">
      <w:pPr>
        <w:pStyle w:val="3"/>
      </w:pPr>
      <w:bookmarkStart w:id="18" w:name="_Toc504055104"/>
      <w:bookmarkStart w:id="19" w:name="_Toc503913873"/>
      <w:r>
        <w:t>Приоритет «</w:t>
      </w:r>
      <w:r w:rsidR="002A6807">
        <w:rPr>
          <w:shd w:val="clear" w:color="auto" w:fill="FFFFFF"/>
        </w:rPr>
        <w:t>Накопление и сохранение</w:t>
      </w:r>
      <w:r w:rsidRPr="00480B21">
        <w:rPr>
          <w:shd w:val="clear" w:color="auto" w:fill="FFFFFF"/>
        </w:rPr>
        <w:t xml:space="preserve"> человеческого </w:t>
      </w:r>
      <w:r w:rsidR="002A6807">
        <w:rPr>
          <w:shd w:val="clear" w:color="auto" w:fill="FFFFFF"/>
        </w:rPr>
        <w:t>капитала</w:t>
      </w:r>
      <w:r>
        <w:rPr>
          <w:shd w:val="clear" w:color="auto" w:fill="FFFFFF"/>
        </w:rPr>
        <w:t>»</w:t>
      </w:r>
      <w:bookmarkEnd w:id="18"/>
    </w:p>
    <w:bookmarkEnd w:id="19"/>
    <w:p w14:paraId="56516CEF" w14:textId="77777777" w:rsidR="00FF3A4B" w:rsidRDefault="00FF3A4B" w:rsidP="00A12102">
      <w:pPr>
        <w:pStyle w:val="2"/>
        <w:numPr>
          <w:ilvl w:val="0"/>
          <w:numId w:val="0"/>
        </w:numPr>
        <w:ind w:left="360"/>
      </w:pPr>
    </w:p>
    <w:p w14:paraId="76D58A89" w14:textId="26AFDFF3" w:rsidR="00480B21" w:rsidRDefault="00816C4C" w:rsidP="00A93D7F">
      <w:pPr>
        <w:pStyle w:val="4"/>
      </w:pPr>
      <w:bookmarkStart w:id="20" w:name="_Toc504055105"/>
      <w:r>
        <w:t xml:space="preserve">Направление </w:t>
      </w:r>
      <w:r w:rsidR="00A41CCC">
        <w:t>«</w:t>
      </w:r>
      <w:r>
        <w:t>Доступное здравоохранение»</w:t>
      </w:r>
      <w:bookmarkEnd w:id="20"/>
    </w:p>
    <w:p w14:paraId="06B9718A" w14:textId="77777777" w:rsidR="00A41CCC" w:rsidRDefault="00A41CCC" w:rsidP="00A93D7F"/>
    <w:p w14:paraId="1345768E" w14:textId="46E8CCC3" w:rsidR="00A41CCC" w:rsidRPr="00A41CCC" w:rsidRDefault="00A41CCC" w:rsidP="00A93D7F">
      <w:r w:rsidRPr="006307A5">
        <w:t xml:space="preserve">Цель – </w:t>
      </w:r>
      <w:r w:rsidR="006307A5" w:rsidRPr="006307A5">
        <w:t>принципиальное</w:t>
      </w:r>
      <w:r w:rsidR="006307A5">
        <w:t xml:space="preserve"> улучшение здоровья граждан, повышения качества и доступности медицинских услуг.</w:t>
      </w:r>
    </w:p>
    <w:p w14:paraId="4D1F7A37" w14:textId="77777777" w:rsidR="00A41CCC" w:rsidRDefault="00A41CCC" w:rsidP="00A93D7F">
      <w:r>
        <w:t xml:space="preserve">Для достижения обозначенной цели будут решены следующие задачи: </w:t>
      </w:r>
    </w:p>
    <w:p w14:paraId="2F93D523" w14:textId="61D96508" w:rsidR="00A41CCC" w:rsidRDefault="00A41CCC" w:rsidP="00A93D7F">
      <w:pPr>
        <w:pStyle w:val="a0"/>
        <w:numPr>
          <w:ilvl w:val="0"/>
          <w:numId w:val="58"/>
        </w:numPr>
      </w:pPr>
      <w:r>
        <w:t>повышение эффективности функционирования системы здравоохранения</w:t>
      </w:r>
      <w:r w:rsidR="00B90A46">
        <w:t>;</w:t>
      </w:r>
    </w:p>
    <w:p w14:paraId="4F589ABE" w14:textId="6C05D9D7" w:rsidR="00A41CCC" w:rsidRDefault="00A41CCC" w:rsidP="00A93D7F">
      <w:pPr>
        <w:pStyle w:val="a0"/>
        <w:numPr>
          <w:ilvl w:val="0"/>
          <w:numId w:val="58"/>
        </w:numPr>
      </w:pPr>
      <w:r>
        <w:t>улучшение состояния здоровья детей и матерей</w:t>
      </w:r>
      <w:r w:rsidR="00B90A46">
        <w:t>;</w:t>
      </w:r>
    </w:p>
    <w:p w14:paraId="7690386A" w14:textId="37830990" w:rsidR="00A41CCC" w:rsidRDefault="00A41CCC" w:rsidP="00A93D7F">
      <w:pPr>
        <w:pStyle w:val="a0"/>
        <w:numPr>
          <w:ilvl w:val="0"/>
          <w:numId w:val="58"/>
        </w:numPr>
      </w:pPr>
      <w:r>
        <w:t>снижение смертности от управляемых причин и предупреждение распространения социально значимых заболеваний</w:t>
      </w:r>
      <w:r w:rsidR="00B90A46">
        <w:t>;</w:t>
      </w:r>
    </w:p>
    <w:p w14:paraId="6EA340EA" w14:textId="3912A7EA" w:rsidR="00A41CCC" w:rsidRDefault="00A41CCC" w:rsidP="00A93D7F">
      <w:pPr>
        <w:pStyle w:val="a0"/>
        <w:numPr>
          <w:ilvl w:val="0"/>
          <w:numId w:val="58"/>
        </w:numPr>
      </w:pPr>
      <w:r>
        <w:t>формирование условий для развития здорового образа жизни: пропаганда здорового образа жизни, нравственное воспитание подрастающего поколения</w:t>
      </w:r>
      <w:r w:rsidR="00B90A46">
        <w:t>.</w:t>
      </w:r>
    </w:p>
    <w:p w14:paraId="1BC0843E" w14:textId="77777777" w:rsidR="00B90A46" w:rsidRDefault="00B90A46" w:rsidP="00A93D7F"/>
    <w:p w14:paraId="439DF5E5" w14:textId="62C7E726" w:rsidR="00B90A46" w:rsidRDefault="00B90A46" w:rsidP="00A93D7F">
      <w:r>
        <w:t xml:space="preserve">Решение задачи </w:t>
      </w:r>
      <w:r w:rsidRPr="002A011D">
        <w:rPr>
          <w:i/>
        </w:rPr>
        <w:t xml:space="preserve">повышения эффективности функционирования системы здравоохранения </w:t>
      </w:r>
      <w:r>
        <w:t>будет обеспечено за счет реализации комплекса мероприятий:</w:t>
      </w:r>
    </w:p>
    <w:p w14:paraId="65832AA7" w14:textId="77777777" w:rsidR="00B90A46" w:rsidRDefault="00B90A46" w:rsidP="00A93D7F">
      <w:pPr>
        <w:pStyle w:val="a0"/>
        <w:numPr>
          <w:ilvl w:val="0"/>
          <w:numId w:val="62"/>
        </w:numPr>
      </w:pPr>
      <w:r>
        <w:t>повышение эффективности системы управления здравоохранением, организации лекарственного обеспечения, продолжение системного встраивания в трехуровневую медицинскую систему оказания медицинской помощи;</w:t>
      </w:r>
    </w:p>
    <w:p w14:paraId="7408389C" w14:textId="77777777" w:rsidR="00B90A46" w:rsidRDefault="00B90A46" w:rsidP="00A93D7F">
      <w:pPr>
        <w:pStyle w:val="a0"/>
        <w:numPr>
          <w:ilvl w:val="0"/>
          <w:numId w:val="62"/>
        </w:numPr>
      </w:pPr>
      <w:r>
        <w:lastRenderedPageBreak/>
        <w:t>повышение качества оказания медицинской помощи и эффективности управления системой здравоохранения за счет информатизации здравоохранения (внедрение системы «электронный кабинет» и др.);</w:t>
      </w:r>
    </w:p>
    <w:p w14:paraId="7A70A0BE" w14:textId="77777777" w:rsidR="00B90A46" w:rsidRDefault="00B90A46" w:rsidP="00A93D7F">
      <w:pPr>
        <w:pStyle w:val="a0"/>
        <w:numPr>
          <w:ilvl w:val="0"/>
          <w:numId w:val="62"/>
        </w:numPr>
      </w:pPr>
      <w:r>
        <w:t>обеспечение доступности всех видов медицинской помощи для населения, обеспечение эффективности и оперативности оказания экстренной медицинской помощи при чрезвычайных ситуациях;</w:t>
      </w:r>
    </w:p>
    <w:p w14:paraId="4DD3A4C4" w14:textId="77777777" w:rsidR="00B90A46" w:rsidRDefault="00B90A46" w:rsidP="00A93D7F">
      <w:pPr>
        <w:pStyle w:val="a0"/>
        <w:numPr>
          <w:ilvl w:val="0"/>
          <w:numId w:val="62"/>
        </w:numPr>
      </w:pPr>
      <w:r>
        <w:t>формирование рациональной и сбалансированной системы лекарственного обеспечения;</w:t>
      </w:r>
    </w:p>
    <w:p w14:paraId="4B64C3E7" w14:textId="77777777" w:rsidR="00B90A46" w:rsidRDefault="00B90A46" w:rsidP="00A93D7F">
      <w:pPr>
        <w:pStyle w:val="a0"/>
        <w:numPr>
          <w:ilvl w:val="0"/>
          <w:numId w:val="62"/>
        </w:numPr>
      </w:pPr>
      <w:r>
        <w:t>стандартизация медицинских услуг;</w:t>
      </w:r>
    </w:p>
    <w:p w14:paraId="73BC4071" w14:textId="77777777" w:rsidR="00B90A46" w:rsidRDefault="00B90A46" w:rsidP="00A93D7F">
      <w:pPr>
        <w:pStyle w:val="a0"/>
        <w:numPr>
          <w:ilvl w:val="0"/>
          <w:numId w:val="62"/>
        </w:numPr>
      </w:pPr>
      <w:r>
        <w:t>опережающее развитие первичной медико-санитарной помощи, стационарзамещающих технологий;</w:t>
      </w:r>
    </w:p>
    <w:p w14:paraId="180132DA" w14:textId="77777777" w:rsidR="00B90A46" w:rsidRDefault="00B90A46" w:rsidP="00A93D7F">
      <w:pPr>
        <w:pStyle w:val="a0"/>
        <w:numPr>
          <w:ilvl w:val="0"/>
          <w:numId w:val="62"/>
        </w:numPr>
      </w:pPr>
      <w:r>
        <w:t>совершенствование системы оказания медицинской помощи жителям малочисленных населенных пунктов, выездной работы по оказанию медицинской и профилактической помощи;</w:t>
      </w:r>
    </w:p>
    <w:p w14:paraId="01089C28" w14:textId="77777777" w:rsidR="00B90A46" w:rsidRDefault="00B90A46" w:rsidP="00A93D7F">
      <w:pPr>
        <w:pStyle w:val="a0"/>
        <w:numPr>
          <w:ilvl w:val="0"/>
          <w:numId w:val="62"/>
        </w:numPr>
      </w:pPr>
      <w:r>
        <w:t>повышение эффективности работы медицинских организаций, внедрение и увеличение объемов применения высокоэффективных методов диагностики и лечения;</w:t>
      </w:r>
    </w:p>
    <w:p w14:paraId="425B5E88" w14:textId="77777777" w:rsidR="00B90A46" w:rsidRDefault="00B90A46" w:rsidP="00A93D7F">
      <w:pPr>
        <w:pStyle w:val="a0"/>
        <w:numPr>
          <w:ilvl w:val="0"/>
          <w:numId w:val="62"/>
        </w:numPr>
      </w:pPr>
      <w:r>
        <w:t>содействие развитию паллиативной медицинской помощи;</w:t>
      </w:r>
    </w:p>
    <w:p w14:paraId="4646637F" w14:textId="77777777" w:rsidR="00B90A46" w:rsidRDefault="00B90A46" w:rsidP="00A93D7F">
      <w:pPr>
        <w:pStyle w:val="a0"/>
        <w:numPr>
          <w:ilvl w:val="0"/>
          <w:numId w:val="62"/>
        </w:numPr>
      </w:pPr>
      <w:r>
        <w:t>развитие инфраструктуры медицинской профилактики, совершенствование форм и методов диспансеризации, совершенствование услуг по медицинской реабилитации больных;</w:t>
      </w:r>
    </w:p>
    <w:p w14:paraId="1563C725" w14:textId="77777777" w:rsidR="00B90A46" w:rsidRDefault="00B90A46" w:rsidP="00A93D7F">
      <w:pPr>
        <w:pStyle w:val="a0"/>
        <w:numPr>
          <w:ilvl w:val="0"/>
          <w:numId w:val="62"/>
        </w:numPr>
      </w:pPr>
      <w:r>
        <w:t>создание пациентоориентированной среды, комфортных условий получения медицинских услуг;</w:t>
      </w:r>
    </w:p>
    <w:p w14:paraId="177A0930" w14:textId="77777777" w:rsidR="00B90A46" w:rsidRDefault="00B90A46" w:rsidP="00A93D7F">
      <w:pPr>
        <w:pStyle w:val="a0"/>
        <w:numPr>
          <w:ilvl w:val="0"/>
          <w:numId w:val="62"/>
        </w:numPr>
      </w:pPr>
      <w:r>
        <w:t>содействие повышению профессиональной квалификации врачей и медицинского персонала;</w:t>
      </w:r>
    </w:p>
    <w:p w14:paraId="3FBF383A" w14:textId="77777777" w:rsidR="00B90A46" w:rsidRDefault="00B90A46" w:rsidP="00A93D7F">
      <w:pPr>
        <w:pStyle w:val="a0"/>
        <w:numPr>
          <w:ilvl w:val="0"/>
          <w:numId w:val="62"/>
        </w:numPr>
      </w:pPr>
      <w:r>
        <w:t>реализация механизмов привлечения медицинских кадров в сельской местности;</w:t>
      </w:r>
    </w:p>
    <w:p w14:paraId="25DCCEFB" w14:textId="77777777" w:rsidR="00B90A46" w:rsidRDefault="00B90A46" w:rsidP="00A93D7F">
      <w:pPr>
        <w:pStyle w:val="a0"/>
        <w:numPr>
          <w:ilvl w:val="0"/>
          <w:numId w:val="62"/>
        </w:numPr>
      </w:pPr>
      <w:r>
        <w:t>развитие государственно-частного партнерства в области здравоохранения;</w:t>
      </w:r>
    </w:p>
    <w:p w14:paraId="22FD38B8" w14:textId="4A999D99" w:rsidR="00B90A46" w:rsidRDefault="00B90A46" w:rsidP="00A93D7F">
      <w:pPr>
        <w:pStyle w:val="a0"/>
        <w:numPr>
          <w:ilvl w:val="0"/>
          <w:numId w:val="62"/>
        </w:numPr>
      </w:pPr>
      <w:r>
        <w:t>развитие конкуренции среди учреждений, оказывающих медицинские услуги за счет расширения сети негосударственного сектора здравоохранения.</w:t>
      </w:r>
    </w:p>
    <w:p w14:paraId="2F7585C5" w14:textId="77777777" w:rsidR="00B90A46" w:rsidRDefault="00B90A46" w:rsidP="00A93D7F"/>
    <w:p w14:paraId="664B03F9" w14:textId="0485A80D" w:rsidR="00B90A46" w:rsidRDefault="00B90A46" w:rsidP="00A93D7F">
      <w:r>
        <w:t xml:space="preserve">Решение задачи по </w:t>
      </w:r>
      <w:r w:rsidRPr="001B7D6B">
        <w:rPr>
          <w:i/>
        </w:rPr>
        <w:t>улучшению состояния здоровья детей и матерей</w:t>
      </w:r>
      <w:r>
        <w:t xml:space="preserve"> будет обеспечено за счет реализации комплекса мероприятий:</w:t>
      </w:r>
    </w:p>
    <w:p w14:paraId="5D288639" w14:textId="77777777" w:rsidR="006D4079" w:rsidRDefault="006D4079" w:rsidP="00A93D7F">
      <w:pPr>
        <w:pStyle w:val="a0"/>
        <w:numPr>
          <w:ilvl w:val="0"/>
          <w:numId w:val="61"/>
        </w:numPr>
      </w:pPr>
      <w:r>
        <w:t>повышение качества оказания медицинской помощи женщинам в период беременности и родов;</w:t>
      </w:r>
    </w:p>
    <w:p w14:paraId="76B22E44" w14:textId="77777777" w:rsidR="006D4079" w:rsidRDefault="006D4079" w:rsidP="00A93D7F">
      <w:pPr>
        <w:pStyle w:val="a0"/>
        <w:numPr>
          <w:ilvl w:val="0"/>
          <w:numId w:val="61"/>
        </w:numPr>
      </w:pPr>
      <w:r>
        <w:t>профилактика и снижение числа прерывания беременности;</w:t>
      </w:r>
    </w:p>
    <w:p w14:paraId="2CA5E6AF" w14:textId="77777777" w:rsidR="006D4079" w:rsidRDefault="006D4079" w:rsidP="00A93D7F">
      <w:pPr>
        <w:pStyle w:val="a0"/>
        <w:numPr>
          <w:ilvl w:val="0"/>
          <w:numId w:val="61"/>
        </w:numPr>
      </w:pPr>
      <w:r>
        <w:t>регионализация перинатальной службы и повышение эффективности ее функционирования;</w:t>
      </w:r>
    </w:p>
    <w:p w14:paraId="738F8457" w14:textId="77777777" w:rsidR="006D4079" w:rsidRDefault="006D4079" w:rsidP="00A93D7F">
      <w:pPr>
        <w:pStyle w:val="a0"/>
        <w:numPr>
          <w:ilvl w:val="0"/>
          <w:numId w:val="61"/>
        </w:numPr>
      </w:pPr>
      <w:r>
        <w:t>внедрение новых организационных репродуктивных технологий.</w:t>
      </w:r>
    </w:p>
    <w:p w14:paraId="63D4E35B" w14:textId="77777777" w:rsidR="006D4079" w:rsidRDefault="006D4079" w:rsidP="00A93D7F">
      <w:pPr>
        <w:pStyle w:val="a0"/>
        <w:numPr>
          <w:ilvl w:val="0"/>
          <w:numId w:val="61"/>
        </w:numPr>
      </w:pPr>
      <w:r>
        <w:t>Обеспечение уровня</w:t>
      </w:r>
      <w:r w:rsidRPr="002A52D5">
        <w:t xml:space="preserve"> материнской и младенческой смертности до ниже средн</w:t>
      </w:r>
      <w:r>
        <w:t>его</w:t>
      </w:r>
      <w:r w:rsidRPr="002A52D5">
        <w:t xml:space="preserve"> по Российской Федераци</w:t>
      </w:r>
      <w:r>
        <w:t>и.</w:t>
      </w:r>
    </w:p>
    <w:p w14:paraId="50D063BD" w14:textId="77777777" w:rsidR="006D4079" w:rsidRDefault="006D4079" w:rsidP="00A93D7F"/>
    <w:p w14:paraId="3F8B3496" w14:textId="35C2A3C3" w:rsidR="006D4079" w:rsidRDefault="006D4079" w:rsidP="00A93D7F">
      <w:r>
        <w:t xml:space="preserve">Решение задачи по </w:t>
      </w:r>
      <w:r w:rsidRPr="001B7D6B">
        <w:t>снижению смертности от управляемых причин и предупреждению распространения социально значимых заболеваний</w:t>
      </w:r>
      <w:r>
        <w:t xml:space="preserve"> будет обеспечено за счет реализации комплекса мероприятий:</w:t>
      </w:r>
    </w:p>
    <w:p w14:paraId="3A9355B0" w14:textId="77777777" w:rsidR="006B5A3E" w:rsidRDefault="006B5A3E" w:rsidP="00A93D7F">
      <w:pPr>
        <w:pStyle w:val="a0"/>
        <w:numPr>
          <w:ilvl w:val="0"/>
          <w:numId w:val="60"/>
        </w:numPr>
      </w:pPr>
      <w:r>
        <w:t>своевременное выявление факторов риска развития заболеваний, в том числе тех, по которым наблюдается высокая смертность;</w:t>
      </w:r>
    </w:p>
    <w:p w14:paraId="414B1E00" w14:textId="77777777" w:rsidR="006B5A3E" w:rsidRDefault="006B5A3E" w:rsidP="00A93D7F">
      <w:pPr>
        <w:pStyle w:val="a0"/>
        <w:numPr>
          <w:ilvl w:val="0"/>
          <w:numId w:val="60"/>
        </w:numPr>
      </w:pPr>
      <w:r>
        <w:t>снижение уровня алкоголизации населения (борьба с суррогатным алкоголем, активное противодействие бытовому пьянству);</w:t>
      </w:r>
    </w:p>
    <w:p w14:paraId="79CAB067" w14:textId="77777777" w:rsidR="006B5A3E" w:rsidRDefault="006B5A3E" w:rsidP="00A93D7F">
      <w:pPr>
        <w:pStyle w:val="a0"/>
        <w:numPr>
          <w:ilvl w:val="0"/>
          <w:numId w:val="60"/>
        </w:numPr>
      </w:pPr>
      <w:r>
        <w:lastRenderedPageBreak/>
        <w:t>профилактика, своевременное выявление и лечение сердечно-сосудистых и онкологических заболеваний, а также заболеваний, которые дают наибольший процент смертности и инвалидизации среди населения;</w:t>
      </w:r>
    </w:p>
    <w:p w14:paraId="6FDE476A" w14:textId="77777777" w:rsidR="006B5A3E" w:rsidRDefault="006B5A3E" w:rsidP="00A93D7F">
      <w:pPr>
        <w:pStyle w:val="a0"/>
        <w:numPr>
          <w:ilvl w:val="0"/>
          <w:numId w:val="60"/>
        </w:numPr>
      </w:pPr>
      <w:r>
        <w:t>снижение уровня заболеваемости социально значимыми и представляющими опасность для окружающих заболеваниями до показателей, не превышающих средние по Российской Федерации;</w:t>
      </w:r>
    </w:p>
    <w:p w14:paraId="3D66B235" w14:textId="77777777" w:rsidR="006B5A3E" w:rsidRDefault="006B5A3E" w:rsidP="00A93D7F">
      <w:pPr>
        <w:pStyle w:val="a0"/>
        <w:numPr>
          <w:ilvl w:val="0"/>
          <w:numId w:val="60"/>
        </w:numPr>
      </w:pPr>
      <w:r>
        <w:t>выявление основных причин и создание условий для снижения уровня смертности населения в результате внешних причин и самоубийств;</w:t>
      </w:r>
    </w:p>
    <w:p w14:paraId="27CF691B" w14:textId="77777777" w:rsidR="006B5A3E" w:rsidRDefault="006B5A3E" w:rsidP="00A93D7F">
      <w:pPr>
        <w:pStyle w:val="a0"/>
        <w:numPr>
          <w:ilvl w:val="0"/>
          <w:numId w:val="60"/>
        </w:numPr>
      </w:pPr>
      <w:r>
        <w:t>сокращение уровня смертности и травматизма от несчастных случаев на производстве и профессиональных заболеваний;</w:t>
      </w:r>
    </w:p>
    <w:p w14:paraId="5B000015" w14:textId="77777777" w:rsidR="006B5A3E" w:rsidRDefault="006B5A3E" w:rsidP="00A93D7F">
      <w:pPr>
        <w:pStyle w:val="a0"/>
        <w:numPr>
          <w:ilvl w:val="0"/>
          <w:numId w:val="60"/>
        </w:numPr>
      </w:pPr>
      <w:r>
        <w:t>предупреждение распространения социально значимых заболеваний (туберкулез, ВИЧ-инфекции, наркомания и алкоголизация населения, психические расстройства);</w:t>
      </w:r>
    </w:p>
    <w:p w14:paraId="2A100637" w14:textId="00CF2B32" w:rsidR="006B5A3E" w:rsidRDefault="006B5A3E" w:rsidP="00A93D7F">
      <w:pPr>
        <w:pStyle w:val="a0"/>
        <w:numPr>
          <w:ilvl w:val="0"/>
          <w:numId w:val="60"/>
        </w:numPr>
      </w:pPr>
      <w:r>
        <w:t>профилактика травматизма, связанного с техногенными причинами (ДТП, травматизм на производстве).</w:t>
      </w:r>
    </w:p>
    <w:p w14:paraId="658F24FF" w14:textId="77777777" w:rsidR="006D4079" w:rsidRDefault="006D4079" w:rsidP="00A93D7F"/>
    <w:p w14:paraId="6598145D" w14:textId="77527E25" w:rsidR="006B5A3E" w:rsidRDefault="006B5A3E" w:rsidP="00A93D7F">
      <w:r>
        <w:t xml:space="preserve">Решение задачи по </w:t>
      </w:r>
      <w:r w:rsidRPr="001B7D6B">
        <w:rPr>
          <w:i/>
        </w:rPr>
        <w:t>формированию условий для развития здорового образа жизни</w:t>
      </w:r>
      <w:r>
        <w:t xml:space="preserve"> будет обеспечено за счет реализации комплекса мероприятий:</w:t>
      </w:r>
    </w:p>
    <w:p w14:paraId="4B936DFF" w14:textId="77777777" w:rsidR="006B5A3E" w:rsidRDefault="006B5A3E" w:rsidP="00A93D7F">
      <w:pPr>
        <w:pStyle w:val="a0"/>
        <w:numPr>
          <w:ilvl w:val="0"/>
          <w:numId w:val="59"/>
        </w:numPr>
      </w:pPr>
      <w:r>
        <w:t>п</w:t>
      </w:r>
      <w:r w:rsidRPr="002A52D5">
        <w:t>ропаганда здорового образа жизни, создание условий населению для занятий спортом, нравственное воспитание подрастающего поколения;</w:t>
      </w:r>
    </w:p>
    <w:p w14:paraId="71EFAB45" w14:textId="77777777" w:rsidR="006B5A3E" w:rsidRDefault="006B5A3E" w:rsidP="00A93D7F">
      <w:pPr>
        <w:pStyle w:val="a0"/>
        <w:numPr>
          <w:ilvl w:val="0"/>
          <w:numId w:val="59"/>
        </w:numPr>
      </w:pPr>
      <w:r>
        <w:t>предупреждение вредных привычек, влияющих на здоровье населения (табакокурение, алкоголизм, наркомания);</w:t>
      </w:r>
    </w:p>
    <w:p w14:paraId="128A7BE4" w14:textId="77777777" w:rsidR="006B5A3E" w:rsidRDefault="006B5A3E" w:rsidP="00A93D7F">
      <w:pPr>
        <w:pStyle w:val="a0"/>
        <w:numPr>
          <w:ilvl w:val="0"/>
          <w:numId w:val="59"/>
        </w:numPr>
      </w:pPr>
      <w:r>
        <w:t>последовательное улучшение социально-экономического положения, повышение уровня и качества жизни;</w:t>
      </w:r>
    </w:p>
    <w:p w14:paraId="65BF9D30" w14:textId="77777777" w:rsidR="006B5A3E" w:rsidRDefault="006B5A3E" w:rsidP="00A93D7F">
      <w:pPr>
        <w:pStyle w:val="a0"/>
        <w:numPr>
          <w:ilvl w:val="0"/>
          <w:numId w:val="59"/>
        </w:numPr>
      </w:pPr>
      <w:r>
        <w:t>создание и внедрение в практическое здравоохранение новых организационных, профилактических технологий;</w:t>
      </w:r>
    </w:p>
    <w:p w14:paraId="02FE1F98" w14:textId="77777777" w:rsidR="006B5A3E" w:rsidRDefault="006B5A3E" w:rsidP="00A93D7F">
      <w:pPr>
        <w:pStyle w:val="a0"/>
        <w:numPr>
          <w:ilvl w:val="0"/>
          <w:numId w:val="59"/>
        </w:numPr>
      </w:pPr>
      <w:r>
        <w:t>реализация мероприятий по информированию населения о влиянии на здоровье негативных факторов и возможностей их предупреждения, о факторах риска развития различных заболеваний;</w:t>
      </w:r>
    </w:p>
    <w:p w14:paraId="6A0EC5EF" w14:textId="77777777" w:rsidR="006B5A3E" w:rsidRDefault="006B5A3E" w:rsidP="00A93D7F">
      <w:pPr>
        <w:pStyle w:val="a0"/>
        <w:numPr>
          <w:ilvl w:val="0"/>
          <w:numId w:val="59"/>
        </w:numPr>
      </w:pPr>
      <w:r>
        <w:t>формирование у населения культуры здорового питания;</w:t>
      </w:r>
    </w:p>
    <w:p w14:paraId="53CC591D" w14:textId="77777777" w:rsidR="006B5A3E" w:rsidRDefault="006B5A3E" w:rsidP="00A93D7F">
      <w:pPr>
        <w:pStyle w:val="a0"/>
        <w:numPr>
          <w:ilvl w:val="0"/>
          <w:numId w:val="59"/>
        </w:numPr>
      </w:pPr>
      <w:r>
        <w:t>обеспечение санитарно-эпидемиологического благополучия населения.</w:t>
      </w:r>
    </w:p>
    <w:p w14:paraId="6F7A8D81" w14:textId="77777777" w:rsidR="006B5A3E" w:rsidRDefault="006B5A3E" w:rsidP="00A93D7F"/>
    <w:p w14:paraId="1D4B1CAF" w14:textId="123D299C" w:rsidR="006B5A3E" w:rsidRDefault="00B72CB4" w:rsidP="00A93D7F">
      <w:pPr>
        <w:pStyle w:val="4"/>
      </w:pPr>
      <w:bookmarkStart w:id="21" w:name="_Toc504055106"/>
      <w:r>
        <w:t>Направление «</w:t>
      </w:r>
      <w:r w:rsidR="00E3615A">
        <w:t>Инновационное</w:t>
      </w:r>
      <w:r>
        <w:t xml:space="preserve"> образование»</w:t>
      </w:r>
      <w:bookmarkEnd w:id="21"/>
    </w:p>
    <w:p w14:paraId="597106DF" w14:textId="77777777" w:rsidR="00B72CB4" w:rsidRDefault="00B72CB4" w:rsidP="00A93D7F"/>
    <w:p w14:paraId="696E84FB" w14:textId="6FD45319" w:rsidR="00B72CB4" w:rsidRPr="00A41CCC" w:rsidRDefault="00B72CB4" w:rsidP="00A93D7F">
      <w:r w:rsidRPr="00982A11">
        <w:t xml:space="preserve">Цель – </w:t>
      </w:r>
      <w:r w:rsidR="00982A11" w:rsidRPr="00982A11">
        <w:t>формирование системы образования, основанной на современных цифровых технологиях, способствующей</w:t>
      </w:r>
      <w:r w:rsidR="00982A11">
        <w:t xml:space="preserve"> развитию инженерных компетенций и компетенций в сфере предпринимательства.</w:t>
      </w:r>
    </w:p>
    <w:p w14:paraId="4FF086D2" w14:textId="77777777" w:rsidR="00B72CB4" w:rsidRDefault="00B72CB4" w:rsidP="00A93D7F">
      <w:r>
        <w:t xml:space="preserve">Для достижения обозначенной цели будут решены следующие задачи: </w:t>
      </w:r>
    </w:p>
    <w:p w14:paraId="048CE051" w14:textId="46BF2DB2" w:rsidR="00103CB1" w:rsidRDefault="00103CB1" w:rsidP="00A93D7F">
      <w:pPr>
        <w:pStyle w:val="a0"/>
        <w:numPr>
          <w:ilvl w:val="0"/>
          <w:numId w:val="63"/>
        </w:numPr>
      </w:pPr>
      <w:r>
        <w:t>модернизация институтов образования</w:t>
      </w:r>
      <w:r w:rsidR="0021211A">
        <w:t>;</w:t>
      </w:r>
    </w:p>
    <w:p w14:paraId="5427962A" w14:textId="39FFD65F" w:rsidR="00103CB1" w:rsidRDefault="0021211A" w:rsidP="00A93D7F">
      <w:pPr>
        <w:pStyle w:val="a0"/>
        <w:numPr>
          <w:ilvl w:val="0"/>
          <w:numId w:val="63"/>
        </w:numPr>
      </w:pPr>
      <w:r>
        <w:t>о</w:t>
      </w:r>
      <w:r w:rsidR="00103CB1">
        <w:t>беспечение инновационного характера образования в соответствии с требованиями федеральных государственных образовательных стандартов</w:t>
      </w:r>
      <w:r>
        <w:t>;</w:t>
      </w:r>
    </w:p>
    <w:p w14:paraId="254438E7" w14:textId="30A81406" w:rsidR="0021211A" w:rsidRDefault="0021211A" w:rsidP="00A93D7F">
      <w:pPr>
        <w:pStyle w:val="a0"/>
        <w:numPr>
          <w:ilvl w:val="0"/>
          <w:numId w:val="63"/>
        </w:numPr>
      </w:pPr>
      <w:r>
        <w:t>р</w:t>
      </w:r>
      <w:r w:rsidR="00103CB1">
        <w:t>азвитие кадрового потенциала системы образования</w:t>
      </w:r>
      <w:r w:rsidR="009D6CBB">
        <w:t>.</w:t>
      </w:r>
    </w:p>
    <w:p w14:paraId="6D4950A7" w14:textId="77777777" w:rsidR="009D6CBB" w:rsidRDefault="009D6CBB" w:rsidP="00A93D7F"/>
    <w:p w14:paraId="6D22AC5B" w14:textId="062F105D" w:rsidR="0021211A" w:rsidRDefault="0021211A" w:rsidP="00A93D7F">
      <w:r>
        <w:t xml:space="preserve">Решение задачи </w:t>
      </w:r>
      <w:r w:rsidRPr="001B7D6B">
        <w:rPr>
          <w:i/>
        </w:rPr>
        <w:t>модернизации институтов образования</w:t>
      </w:r>
      <w:r>
        <w:t xml:space="preserve"> будет обеспечено за счет реализации комплекса мероприятий:</w:t>
      </w:r>
    </w:p>
    <w:p w14:paraId="3CDFD9F7" w14:textId="77777777" w:rsidR="00E3615A" w:rsidRDefault="00E3615A" w:rsidP="00A93D7F">
      <w:pPr>
        <w:pStyle w:val="a0"/>
        <w:numPr>
          <w:ilvl w:val="0"/>
          <w:numId w:val="64"/>
        </w:numPr>
      </w:pPr>
      <w:r>
        <w:t>обновление и развитие образовательных учреждений, направленное на повышение их конкурентоспособности;</w:t>
      </w:r>
    </w:p>
    <w:p w14:paraId="72B9AB13" w14:textId="77777777" w:rsidR="00E3615A" w:rsidRDefault="00E3615A" w:rsidP="00A93D7F">
      <w:pPr>
        <w:pStyle w:val="a0"/>
        <w:numPr>
          <w:ilvl w:val="0"/>
          <w:numId w:val="64"/>
        </w:numPr>
      </w:pPr>
      <w:r>
        <w:t xml:space="preserve">оптимизация сети учреждений общего образования с учетом потребностей обучающихся, родителей (законных представителей) обучающихся и социально-экономического развития Нефтеюганского района, </w:t>
      </w:r>
      <w:r w:rsidRPr="00ED4F84">
        <w:t xml:space="preserve">специфики </w:t>
      </w:r>
      <w:r w:rsidRPr="00ED4F84">
        <w:lastRenderedPageBreak/>
        <w:t xml:space="preserve">социокультурных, географических ресурсов </w:t>
      </w:r>
      <w:r>
        <w:t xml:space="preserve">Нефтеюганского района </w:t>
      </w:r>
      <w:r w:rsidRPr="00ED4F84">
        <w:t xml:space="preserve">по перспективным направлениям: культурно-познавательный, событийный, экологический, сельский, активный туризм, научно-техническое творчество, робототехника, предпрофессиональная подготовка по </w:t>
      </w:r>
      <w:r>
        <w:t xml:space="preserve">нефтедобывающему, </w:t>
      </w:r>
      <w:r w:rsidRPr="00ED4F84">
        <w:t>сельскохозяйственно</w:t>
      </w:r>
      <w:r>
        <w:t>му, лесохозяйственному профилю;</w:t>
      </w:r>
    </w:p>
    <w:p w14:paraId="57E4E9A4" w14:textId="77777777" w:rsidR="00E3615A" w:rsidRDefault="00E3615A" w:rsidP="00A93D7F">
      <w:pPr>
        <w:pStyle w:val="a0"/>
        <w:numPr>
          <w:ilvl w:val="0"/>
          <w:numId w:val="64"/>
        </w:numPr>
      </w:pPr>
      <w:r>
        <w:t>модернизация и расширение материально-технических возможностей учреждений и организаций образования;</w:t>
      </w:r>
    </w:p>
    <w:p w14:paraId="03E42E98" w14:textId="77777777" w:rsidR="00E3615A" w:rsidRDefault="00E3615A" w:rsidP="00A93D7F">
      <w:pPr>
        <w:pStyle w:val="a0"/>
        <w:numPr>
          <w:ilvl w:val="0"/>
          <w:numId w:val="64"/>
        </w:numPr>
      </w:pPr>
      <w:r w:rsidRPr="00ED4F84">
        <w:t xml:space="preserve">формирование эффективных механизмов государственно-общественного, межведомственного управления системой дополнительного образования детей; обеспечение высокого качества услуг дополнительного образования детей, расширение их потенциала; </w:t>
      </w:r>
    </w:p>
    <w:p w14:paraId="63DC33EA" w14:textId="77777777" w:rsidR="00E3615A" w:rsidRDefault="00E3615A" w:rsidP="00A93D7F">
      <w:pPr>
        <w:pStyle w:val="a0"/>
        <w:numPr>
          <w:ilvl w:val="0"/>
          <w:numId w:val="64"/>
        </w:numPr>
      </w:pPr>
      <w:r w:rsidRPr="00ED4F84">
        <w:t>создание и реализация вариативных программ дополнительного образования на основе сетевого взаимодействия, электронного обучения и дистанционных технологий;</w:t>
      </w:r>
    </w:p>
    <w:p w14:paraId="11C088C7" w14:textId="77777777" w:rsidR="00E3615A" w:rsidRDefault="00E3615A" w:rsidP="00A93D7F">
      <w:pPr>
        <w:pStyle w:val="a0"/>
        <w:numPr>
          <w:ilvl w:val="0"/>
          <w:numId w:val="64"/>
        </w:numPr>
      </w:pPr>
      <w:r w:rsidRPr="00B778FD">
        <w:t>укрепление связи организаций дошкольного образования со школами, в том числе в форме комплексов: включение детских садов в состав комплексов со школами, создание инфраструктуры дошкольного образования многоцелевого назначения; взаимодействие организаций общего и дополнительного образования детей для организации внеурочной деятельности учащихся с учетом федеральных государственных образовательных стандартов;</w:t>
      </w:r>
    </w:p>
    <w:p w14:paraId="224BFBEF" w14:textId="77777777" w:rsidR="00E3615A" w:rsidRDefault="00E3615A" w:rsidP="00A93D7F">
      <w:pPr>
        <w:pStyle w:val="a0"/>
        <w:numPr>
          <w:ilvl w:val="0"/>
          <w:numId w:val="64"/>
        </w:numPr>
      </w:pPr>
      <w:r>
        <w:t>создание инфраструктуры социальной мобильности обучающихся;</w:t>
      </w:r>
    </w:p>
    <w:p w14:paraId="580CB7CB" w14:textId="77777777" w:rsidR="00E3615A" w:rsidRDefault="00E3615A" w:rsidP="00A93D7F">
      <w:pPr>
        <w:pStyle w:val="a0"/>
        <w:numPr>
          <w:ilvl w:val="0"/>
          <w:numId w:val="64"/>
        </w:numPr>
      </w:pPr>
      <w: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14:paraId="7AF3DAE2" w14:textId="77777777" w:rsidR="00E3615A" w:rsidRDefault="00E3615A" w:rsidP="00A93D7F">
      <w:pPr>
        <w:pStyle w:val="a0"/>
        <w:numPr>
          <w:ilvl w:val="0"/>
          <w:numId w:val="64"/>
        </w:numPr>
      </w:pPr>
      <w:r>
        <w:t>с</w:t>
      </w:r>
      <w:r w:rsidRPr="00F33AC4">
        <w:t>оздание на всех ступенях общего образования условий для реализации индивидуальных образовательных программ для каждого ученика</w:t>
      </w:r>
      <w:r>
        <w:t>;</w:t>
      </w:r>
    </w:p>
    <w:p w14:paraId="7820FEC4" w14:textId="77777777" w:rsidR="00E3615A" w:rsidRDefault="00E3615A" w:rsidP="00A93D7F">
      <w:pPr>
        <w:pStyle w:val="a0"/>
        <w:numPr>
          <w:ilvl w:val="0"/>
          <w:numId w:val="64"/>
        </w:numPr>
      </w:pPr>
      <w:r w:rsidRPr="00514201">
        <w:t>популяризаци</w:t>
      </w:r>
      <w:r>
        <w:t>я</w:t>
      </w:r>
      <w:r w:rsidRPr="00514201">
        <w:t xml:space="preserve"> среди детей и молодежи научно-образовательной и творческой деятельности</w:t>
      </w:r>
      <w:r>
        <w:t>,</w:t>
      </w:r>
      <w:r w:rsidRPr="00514201">
        <w:t xml:space="preserve"> </w:t>
      </w:r>
      <w:r>
        <w:t>развитие системы выявления и поддержки одаренных детей и талантливой молодежи;</w:t>
      </w:r>
    </w:p>
    <w:p w14:paraId="24DAB059" w14:textId="77777777" w:rsidR="00E3615A" w:rsidRDefault="00E3615A" w:rsidP="00A93D7F">
      <w:pPr>
        <w:pStyle w:val="a0"/>
        <w:numPr>
          <w:ilvl w:val="0"/>
          <w:numId w:val="64"/>
        </w:numPr>
      </w:pPr>
      <w:r>
        <w:t xml:space="preserve">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 образовательных организаций, </w:t>
      </w:r>
      <w:r w:rsidRPr="00AE08D8">
        <w:t xml:space="preserve">обеспечение потребности </w:t>
      </w:r>
      <w:r>
        <w:t>районных</w:t>
      </w:r>
      <w:r w:rsidRPr="00AE08D8">
        <w:t xml:space="preserve"> организаций сферы образования в товарах, работах, услугах</w:t>
      </w:r>
      <w:r>
        <w:t>;</w:t>
      </w:r>
    </w:p>
    <w:p w14:paraId="74AC05A5" w14:textId="77777777" w:rsidR="00E3615A" w:rsidRDefault="00E3615A" w:rsidP="00A93D7F">
      <w:pPr>
        <w:pStyle w:val="a0"/>
        <w:numPr>
          <w:ilvl w:val="0"/>
          <w:numId w:val="64"/>
        </w:numPr>
      </w:pPr>
      <w:r w:rsidRPr="00B778FD">
        <w:t>расширение доступа негосударственных организаций к предоставлению услуг общего и дополнительного образования, развитие государственно-частного партнерства в сфере общего и дополнительного образования.</w:t>
      </w:r>
    </w:p>
    <w:p w14:paraId="78505528" w14:textId="77777777" w:rsidR="00E3615A" w:rsidRDefault="00E3615A" w:rsidP="00A93D7F"/>
    <w:p w14:paraId="642FDE20" w14:textId="51D12204" w:rsidR="00E3615A" w:rsidRDefault="00E3615A" w:rsidP="00A93D7F">
      <w:r>
        <w:t xml:space="preserve">Решение задачи </w:t>
      </w:r>
      <w:r w:rsidRPr="001B7D6B">
        <w:t>обеспечения инновационного характера образования в соответствии с требованиями федеральных государственных образовательных стандартов</w:t>
      </w:r>
      <w:r>
        <w:t xml:space="preserve"> будет обеспечено за счет реализации комплекса мероприятий:</w:t>
      </w:r>
    </w:p>
    <w:p w14:paraId="4CC00ECF" w14:textId="77777777" w:rsidR="00E3615A" w:rsidRDefault="00E3615A" w:rsidP="00A93D7F">
      <w:pPr>
        <w:pStyle w:val="a0"/>
        <w:numPr>
          <w:ilvl w:val="0"/>
          <w:numId w:val="65"/>
        </w:numPr>
      </w:pPr>
      <w:r>
        <w:t xml:space="preserve">обеспечение равного доступа к образовательным услугам раннего развития детей, модернизация образовательных программ и образовательной среды в системах общего образования и дополнительного образования детей, </w:t>
      </w:r>
    </w:p>
    <w:p w14:paraId="7F04F2C9" w14:textId="77777777" w:rsidR="00E3615A" w:rsidRDefault="00E3615A" w:rsidP="00A93D7F">
      <w:pPr>
        <w:pStyle w:val="a0"/>
        <w:numPr>
          <w:ilvl w:val="0"/>
          <w:numId w:val="65"/>
        </w:numPr>
      </w:pPr>
      <w:r>
        <w:t xml:space="preserve">обеспечение доступности образования для лиц с ограниченными возможностями, для </w:t>
      </w:r>
      <w:r w:rsidRPr="00DF1F7A">
        <w:t>детей и молодежи из социально слабозащищенных групп населения</w:t>
      </w:r>
      <w:r>
        <w:t>;</w:t>
      </w:r>
    </w:p>
    <w:p w14:paraId="7BE3162E" w14:textId="77777777" w:rsidR="00E3615A" w:rsidRDefault="00E3615A" w:rsidP="00A93D7F">
      <w:pPr>
        <w:pStyle w:val="a0"/>
        <w:numPr>
          <w:ilvl w:val="0"/>
          <w:numId w:val="65"/>
        </w:numPr>
      </w:pPr>
      <w:r>
        <w:t xml:space="preserve">формирование системы образования, направленной на достижение современного качества учебных результатов, обеспечение соответствия </w:t>
      </w:r>
      <w:r>
        <w:lastRenderedPageBreak/>
        <w:t>образовательных результатов перспективным задачам развития общества и экономики, обеспечение готовности выпускников общеобразовательных организаций к дальнейшему обучению, деятельности в высокотехнологичной экономике и формирования у обучающихся социальных компетенций, гражданских установок, культуры здорового образа жизни;</w:t>
      </w:r>
    </w:p>
    <w:p w14:paraId="51D6EB01" w14:textId="77777777" w:rsidR="00E3615A" w:rsidRDefault="00E3615A" w:rsidP="00A93D7F">
      <w:pPr>
        <w:pStyle w:val="a0"/>
        <w:numPr>
          <w:ilvl w:val="0"/>
          <w:numId w:val="65"/>
        </w:numPr>
      </w:pPr>
      <w:r>
        <w:t>п</w:t>
      </w:r>
      <w:r w:rsidRPr="003B2C0D">
        <w:t xml:space="preserve">овышение вариативности, качества и доступности </w:t>
      </w:r>
      <w:r>
        <w:t xml:space="preserve">общего и </w:t>
      </w:r>
      <w:r w:rsidRPr="003B2C0D">
        <w:t>дополнительного обр</w:t>
      </w:r>
      <w:r>
        <w:t xml:space="preserve">азования, обновление содержания </w:t>
      </w:r>
      <w:r w:rsidRPr="003B2C0D">
        <w:t>дополнительного образования в соответствии с интересами детей, потребностями семьи и общества</w:t>
      </w:r>
      <w:r>
        <w:t>;</w:t>
      </w:r>
    </w:p>
    <w:p w14:paraId="3D026ECA" w14:textId="77777777" w:rsidR="00E3615A" w:rsidRDefault="00E3615A" w:rsidP="00A93D7F">
      <w:pPr>
        <w:pStyle w:val="a0"/>
        <w:numPr>
          <w:ilvl w:val="0"/>
          <w:numId w:val="65"/>
        </w:numPr>
      </w:pPr>
      <w:r>
        <w:t>повышение качества образования, в том числе на основе развития и использования информационных и телекоммуникационных технологий;</w:t>
      </w:r>
    </w:p>
    <w:p w14:paraId="216104AA" w14:textId="6F85F291" w:rsidR="00E3615A" w:rsidRDefault="00E3615A" w:rsidP="00A93D7F">
      <w:pPr>
        <w:pStyle w:val="a0"/>
        <w:numPr>
          <w:ilvl w:val="0"/>
          <w:numId w:val="65"/>
        </w:numPr>
      </w:pPr>
      <w: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районной системы оценки качества образования.</w:t>
      </w:r>
    </w:p>
    <w:p w14:paraId="7776E1CA" w14:textId="77777777" w:rsidR="00E3615A" w:rsidRDefault="00E3615A" w:rsidP="00A93D7F"/>
    <w:p w14:paraId="52E6A4C2" w14:textId="34965BB5" w:rsidR="00E3615A" w:rsidRDefault="00E3615A" w:rsidP="00A93D7F">
      <w:r>
        <w:t xml:space="preserve">Решение задачи </w:t>
      </w:r>
      <w:r w:rsidR="002F207B">
        <w:t xml:space="preserve">по </w:t>
      </w:r>
      <w:r w:rsidR="003E0662" w:rsidRPr="001B7D6B">
        <w:rPr>
          <w:i/>
        </w:rPr>
        <w:t>развитию кадрового потенциала системы образования</w:t>
      </w:r>
      <w:r>
        <w:t xml:space="preserve"> будет обеспечено за счет реализации комплекса мероприятий:</w:t>
      </w:r>
    </w:p>
    <w:p w14:paraId="4005CEAC" w14:textId="77777777" w:rsidR="00F40EB4" w:rsidRDefault="00F40EB4" w:rsidP="00A93D7F">
      <w:pPr>
        <w:pStyle w:val="a0"/>
        <w:numPr>
          <w:ilvl w:val="0"/>
          <w:numId w:val="66"/>
        </w:numPr>
      </w:pPr>
      <w:r>
        <w:t>обеспечение притока педагогических кадров и их профессиональное развитие за счет конкурентоспособных условий труда;</w:t>
      </w:r>
    </w:p>
    <w:p w14:paraId="39D67A42" w14:textId="77777777" w:rsidR="00F40EB4" w:rsidRDefault="00F40EB4" w:rsidP="00A93D7F">
      <w:pPr>
        <w:pStyle w:val="a0"/>
        <w:numPr>
          <w:ilvl w:val="0"/>
          <w:numId w:val="66"/>
        </w:numPr>
      </w:pPr>
      <w:r>
        <w:t xml:space="preserve">создание современных условий для работы педагогических и руководящих работников, учебно-вспомогательного и прочего персонала, развитие и повышение ее качества; </w:t>
      </w:r>
    </w:p>
    <w:p w14:paraId="741D08FF" w14:textId="77777777" w:rsidR="00F40EB4" w:rsidRDefault="00F40EB4" w:rsidP="00A93D7F">
      <w:pPr>
        <w:pStyle w:val="a0"/>
        <w:numPr>
          <w:ilvl w:val="0"/>
          <w:numId w:val="66"/>
        </w:numPr>
      </w:pPr>
      <w:r>
        <w:t>создание системы поддержки творчески работающих педагогических коллективов, увеличение количества педагогов, использующих современные образовательные технологии; мотивация педагогов к саморазвитию и повышению профессиональной компетентности.</w:t>
      </w:r>
    </w:p>
    <w:p w14:paraId="01A8005E" w14:textId="77777777" w:rsidR="00F40EB4" w:rsidRDefault="00F40EB4" w:rsidP="00A93D7F"/>
    <w:p w14:paraId="5701D487" w14:textId="2300B0FD" w:rsidR="001414BA" w:rsidRDefault="001414BA" w:rsidP="00A93D7F">
      <w:pPr>
        <w:pStyle w:val="4"/>
      </w:pPr>
      <w:bookmarkStart w:id="22" w:name="_Toc504055107"/>
      <w:r>
        <w:t>Направление «</w:t>
      </w:r>
      <w:bookmarkStart w:id="23" w:name="_Toc458101028"/>
      <w:r>
        <w:t>Социальная защита и занятость</w:t>
      </w:r>
      <w:bookmarkEnd w:id="23"/>
      <w:r w:rsidR="004014CD">
        <w:t>»</w:t>
      </w:r>
      <w:bookmarkEnd w:id="22"/>
    </w:p>
    <w:p w14:paraId="7C431116" w14:textId="77777777" w:rsidR="001414BA" w:rsidRDefault="001414BA" w:rsidP="00A93D7F"/>
    <w:p w14:paraId="226AEDA9" w14:textId="0C3C8D64" w:rsidR="005A3B0D" w:rsidRPr="00A41CCC" w:rsidRDefault="005A3B0D" w:rsidP="00982A11">
      <w:r w:rsidRPr="0015354B">
        <w:t xml:space="preserve">Цель – </w:t>
      </w:r>
      <w:r w:rsidR="00982A11" w:rsidRPr="0015354B">
        <w:t>выравнивание</w:t>
      </w:r>
      <w:r w:rsidR="00982A11">
        <w:t xml:space="preserve"> качества жизни населения Не</w:t>
      </w:r>
      <w:r w:rsidR="00D22574">
        <w:t>ф</w:t>
      </w:r>
      <w:r w:rsidR="00982A11">
        <w:t>теюганского района, формирование высокопроизводительных рабочих мест.</w:t>
      </w:r>
    </w:p>
    <w:p w14:paraId="7B2C3239" w14:textId="77777777" w:rsidR="005A3B0D" w:rsidRDefault="005A3B0D" w:rsidP="00A93D7F">
      <w:r>
        <w:t xml:space="preserve">Для достижения обозначенной цели будут решены следующие задачи: </w:t>
      </w:r>
    </w:p>
    <w:p w14:paraId="698FBFFF" w14:textId="4B89A600" w:rsidR="005A3B0D" w:rsidRDefault="005A3B0D" w:rsidP="00A93D7F">
      <w:pPr>
        <w:pStyle w:val="a0"/>
        <w:numPr>
          <w:ilvl w:val="0"/>
          <w:numId w:val="63"/>
        </w:numPr>
      </w:pPr>
      <w:r>
        <w:t>повышение качества жизни социально уязвимых слоев населения;</w:t>
      </w:r>
    </w:p>
    <w:p w14:paraId="4AC58D40" w14:textId="4364A51C" w:rsidR="005A3B0D" w:rsidRDefault="005A3B0D" w:rsidP="00A93D7F">
      <w:pPr>
        <w:pStyle w:val="a0"/>
        <w:numPr>
          <w:ilvl w:val="0"/>
          <w:numId w:val="63"/>
        </w:numPr>
      </w:pPr>
      <w:r>
        <w:t>повышение эффективности предоставления услуг и укрепление кадрового потенциала учреждений;</w:t>
      </w:r>
    </w:p>
    <w:p w14:paraId="0A27C404" w14:textId="18AB0AB5" w:rsidR="005A3B0D" w:rsidRDefault="005A3B0D" w:rsidP="00A93D7F">
      <w:pPr>
        <w:pStyle w:val="a0"/>
        <w:numPr>
          <w:ilvl w:val="0"/>
          <w:numId w:val="63"/>
        </w:numPr>
      </w:pPr>
      <w:r>
        <w:t>развитие новых форм опеки и попечительства</w:t>
      </w:r>
      <w:r w:rsidR="000268E7">
        <w:t>;</w:t>
      </w:r>
    </w:p>
    <w:p w14:paraId="17C8B482" w14:textId="24AED973" w:rsidR="005A3B0D" w:rsidRDefault="005A3B0D" w:rsidP="00A93D7F">
      <w:pPr>
        <w:pStyle w:val="a0"/>
        <w:numPr>
          <w:ilvl w:val="0"/>
          <w:numId w:val="63"/>
        </w:numPr>
      </w:pPr>
      <w:r>
        <w:t>р</w:t>
      </w:r>
      <w:r w:rsidRPr="00E76BDD">
        <w:t>азвитие трудового потенциала региона, управление структурой и качеством рабочей силы</w:t>
      </w:r>
      <w:r>
        <w:t>.</w:t>
      </w:r>
    </w:p>
    <w:p w14:paraId="09C1940E" w14:textId="77777777" w:rsidR="005A3B0D" w:rsidRDefault="005A3B0D" w:rsidP="00A93D7F"/>
    <w:p w14:paraId="625992BC" w14:textId="0028F045" w:rsidR="005A3B0D" w:rsidRDefault="005A3B0D" w:rsidP="00A93D7F">
      <w:r>
        <w:t xml:space="preserve">Решение задачи </w:t>
      </w:r>
      <w:r w:rsidR="000268E7" w:rsidRPr="001B7D6B">
        <w:rPr>
          <w:i/>
        </w:rPr>
        <w:t xml:space="preserve">повышения качества жизни социально уязвимых слоев населения </w:t>
      </w:r>
      <w:r>
        <w:t>будет обеспечено за счет реализации комплекса мероприятий:</w:t>
      </w:r>
    </w:p>
    <w:p w14:paraId="00DD3F35" w14:textId="77777777" w:rsidR="00A87D5F" w:rsidRDefault="00A87D5F" w:rsidP="00A93D7F">
      <w:pPr>
        <w:pStyle w:val="a0"/>
        <w:numPr>
          <w:ilvl w:val="0"/>
          <w:numId w:val="67"/>
        </w:numPr>
      </w:pPr>
      <w:r w:rsidRPr="00535CC7">
        <w:t>развитие действующей сети организаций социального обслуживания, в том числе создание инфраструктуры реабилитационных центров, обеспечивающих комплексную реабилитацию инвалидов и их возвращение к полноценной жизни в обществе, развитие рынка социальных услуг;</w:t>
      </w:r>
    </w:p>
    <w:p w14:paraId="42CE790B" w14:textId="77777777" w:rsidR="00A87D5F" w:rsidRDefault="00A87D5F" w:rsidP="00A93D7F">
      <w:pPr>
        <w:pStyle w:val="a0"/>
        <w:numPr>
          <w:ilvl w:val="0"/>
          <w:numId w:val="67"/>
        </w:numPr>
      </w:pPr>
      <w:r>
        <w:lastRenderedPageBreak/>
        <w:t>совершенствование информационной инфраструктуры и технической обеспеченности органов социальной защиты населения и учреждений социального обслуживания;</w:t>
      </w:r>
    </w:p>
    <w:p w14:paraId="06067BF5" w14:textId="77777777" w:rsidR="00A87D5F" w:rsidRDefault="00A87D5F" w:rsidP="00A93D7F">
      <w:pPr>
        <w:pStyle w:val="a0"/>
        <w:numPr>
          <w:ilvl w:val="0"/>
          <w:numId w:val="67"/>
        </w:numPr>
      </w:pPr>
      <w:r>
        <w:t>увеличение охвата нуждающихся семей (граждан) государственной социальной помощью: переход от заявительного к выявительному принципу предоставления государственной социальной помощи; развитие деятельности участковых социальных работников;</w:t>
      </w:r>
    </w:p>
    <w:p w14:paraId="41CE2698" w14:textId="77777777" w:rsidR="00A87D5F" w:rsidRDefault="00A87D5F" w:rsidP="00A93D7F">
      <w:pPr>
        <w:pStyle w:val="a0"/>
        <w:numPr>
          <w:ilvl w:val="0"/>
          <w:numId w:val="67"/>
        </w:numPr>
      </w:pPr>
      <w:r>
        <w:t>реализация мероприятий по обеспечению доступной среды жизнедеятельности для лиц с ограниченными возможностями;</w:t>
      </w:r>
    </w:p>
    <w:p w14:paraId="1CAB5EBA" w14:textId="77777777" w:rsidR="00A87D5F" w:rsidRDefault="00A87D5F" w:rsidP="00A93D7F">
      <w:pPr>
        <w:pStyle w:val="a0"/>
        <w:numPr>
          <w:ilvl w:val="0"/>
          <w:numId w:val="67"/>
        </w:numPr>
      </w:pPr>
      <w:r>
        <w:t>развитие системы реабилитации детей-инвалидов, обеспечивающей комплексное психолого-педагогическое и медико-социальное сопровождение индивидуального развития ребенка с ограниченными возможностями здоровья, независимо от формы его воспитания;</w:t>
      </w:r>
    </w:p>
    <w:p w14:paraId="755DC050" w14:textId="77777777" w:rsidR="00A87D5F" w:rsidRDefault="00A87D5F" w:rsidP="00A93D7F">
      <w:pPr>
        <w:pStyle w:val="a0"/>
        <w:numPr>
          <w:ilvl w:val="0"/>
          <w:numId w:val="67"/>
        </w:numPr>
      </w:pPr>
      <w:r>
        <w:t>обеспечение безопасных и комфортных условий проживания граждан пожилого возраста и инвалидов в стационарных учреждениях социального обслуживания;</w:t>
      </w:r>
    </w:p>
    <w:p w14:paraId="28A7A67D" w14:textId="77777777" w:rsidR="00A87D5F" w:rsidRDefault="00A87D5F" w:rsidP="00A93D7F">
      <w:pPr>
        <w:pStyle w:val="a0"/>
        <w:numPr>
          <w:ilvl w:val="0"/>
          <w:numId w:val="67"/>
        </w:numPr>
      </w:pPr>
      <w:r>
        <w:t>повышение эффективности предоставления государственной социальной помощи гражданам, оказавшимся в трудной жизненной ситуации;</w:t>
      </w:r>
    </w:p>
    <w:p w14:paraId="42AAD2C4" w14:textId="77777777" w:rsidR="00A87D5F" w:rsidRDefault="00A87D5F" w:rsidP="00A93D7F">
      <w:pPr>
        <w:pStyle w:val="a0"/>
        <w:numPr>
          <w:ilvl w:val="0"/>
          <w:numId w:val="67"/>
        </w:numPr>
      </w:pPr>
      <w:r>
        <w:t>внедрение современных социальных технологий оказания помощи;</w:t>
      </w:r>
    </w:p>
    <w:p w14:paraId="2E647C60" w14:textId="77777777" w:rsidR="00A87D5F" w:rsidRDefault="00A87D5F" w:rsidP="00A93D7F">
      <w:pPr>
        <w:pStyle w:val="a0"/>
        <w:numPr>
          <w:ilvl w:val="0"/>
          <w:numId w:val="67"/>
        </w:numPr>
      </w:pPr>
      <w:r>
        <w:t>развитие конкурсных механизмов с целью обеспечения равного доступа к государственному финансированию для государственных и негосударственных (социально ориентированных некоммерческих) организаций, предоставляющих социальные услуги на основе государственных стандартов социального обслуживания и системы оценки качества выполнения социальных программ.</w:t>
      </w:r>
    </w:p>
    <w:p w14:paraId="7F4478DA" w14:textId="77777777" w:rsidR="00A87D5F" w:rsidRDefault="00A87D5F" w:rsidP="00A93D7F"/>
    <w:p w14:paraId="250D80C5" w14:textId="1B75AFE9" w:rsidR="00A87D5F" w:rsidRDefault="00A87D5F" w:rsidP="00A93D7F">
      <w:r>
        <w:t xml:space="preserve">Решение задачи </w:t>
      </w:r>
      <w:r w:rsidRPr="00B47F48">
        <w:rPr>
          <w:i/>
        </w:rPr>
        <w:t>повышения эффективности предоставления услуг и укрепление кадрового потенциала учреждений</w:t>
      </w:r>
      <w:r>
        <w:t xml:space="preserve"> будет обеспечено за счет реализации комплекса мероприятий:</w:t>
      </w:r>
    </w:p>
    <w:p w14:paraId="0D55075E" w14:textId="77777777" w:rsidR="00A87D5F" w:rsidRDefault="00A87D5F" w:rsidP="00A93D7F">
      <w:pPr>
        <w:pStyle w:val="a0"/>
        <w:numPr>
          <w:ilvl w:val="0"/>
          <w:numId w:val="68"/>
        </w:numPr>
      </w:pPr>
      <w:r>
        <w:t>повышение качества социального обслуживания: аудит и стандартизация услуг, критериев эффективности деятельности учреждений социального обслуживания;</w:t>
      </w:r>
    </w:p>
    <w:p w14:paraId="1208486A" w14:textId="77777777" w:rsidR="00A87D5F" w:rsidRDefault="00A87D5F" w:rsidP="00A93D7F">
      <w:pPr>
        <w:pStyle w:val="a0"/>
        <w:numPr>
          <w:ilvl w:val="0"/>
          <w:numId w:val="68"/>
        </w:numPr>
      </w:pPr>
      <w:r>
        <w:t>создание условий (учреждений) для реабилитации и социальной интеграции инвалидов;</w:t>
      </w:r>
    </w:p>
    <w:p w14:paraId="62CEC4E0" w14:textId="77777777" w:rsidR="00A87D5F" w:rsidRDefault="00A87D5F" w:rsidP="00A93D7F">
      <w:pPr>
        <w:pStyle w:val="a0"/>
        <w:numPr>
          <w:ilvl w:val="0"/>
          <w:numId w:val="68"/>
        </w:numPr>
      </w:pPr>
      <w:r>
        <w:t>повышение оплаты труда работников учреждений социального обслуживания;</w:t>
      </w:r>
    </w:p>
    <w:p w14:paraId="384D6CD5" w14:textId="53B03476" w:rsidR="00A87D5F" w:rsidRDefault="00A87D5F" w:rsidP="00A93D7F">
      <w:pPr>
        <w:pStyle w:val="a0"/>
        <w:numPr>
          <w:ilvl w:val="0"/>
          <w:numId w:val="68"/>
        </w:numPr>
      </w:pPr>
      <w:r>
        <w:t>стимулирование повышения квалификации работниками отрасли.</w:t>
      </w:r>
    </w:p>
    <w:p w14:paraId="6CB03B33" w14:textId="77777777" w:rsidR="00A87D5F" w:rsidRDefault="00A87D5F" w:rsidP="00A93D7F"/>
    <w:p w14:paraId="4C4EF2B2" w14:textId="7D5BB9C9" w:rsidR="00A87D5F" w:rsidRDefault="00A87D5F" w:rsidP="00A93D7F">
      <w:r>
        <w:t xml:space="preserve">Решение задачи </w:t>
      </w:r>
      <w:r w:rsidRPr="001B7D6B">
        <w:rPr>
          <w:i/>
        </w:rPr>
        <w:t>развития новых форм опеки и попечительства</w:t>
      </w:r>
      <w:r>
        <w:t xml:space="preserve"> будет обеспечено за счет реализации комплекса мероприятий:</w:t>
      </w:r>
    </w:p>
    <w:p w14:paraId="1528AC02" w14:textId="77777777" w:rsidR="00A87D5F" w:rsidRDefault="00A87D5F" w:rsidP="00A93D7F">
      <w:pPr>
        <w:pStyle w:val="a0"/>
        <w:numPr>
          <w:ilvl w:val="0"/>
          <w:numId w:val="69"/>
        </w:numPr>
      </w:pPr>
      <w:r>
        <w:t>внедрение осуществления опеки на договорной основе в отношении совершеннолетних недееспособных граждан;</w:t>
      </w:r>
    </w:p>
    <w:p w14:paraId="545B754F" w14:textId="77777777" w:rsidR="00A87D5F" w:rsidRDefault="00A87D5F" w:rsidP="00A93D7F">
      <w:pPr>
        <w:pStyle w:val="a0"/>
        <w:numPr>
          <w:ilvl w:val="0"/>
          <w:numId w:val="69"/>
        </w:numPr>
      </w:pPr>
      <w:r>
        <w:t>популяризация идеи опекунства среди жителей Нефтеюганского района.</w:t>
      </w:r>
    </w:p>
    <w:p w14:paraId="6CD9D061" w14:textId="77777777" w:rsidR="00A87D5F" w:rsidRDefault="00A87D5F" w:rsidP="00A93D7F"/>
    <w:p w14:paraId="07487697" w14:textId="3CBB2699" w:rsidR="00A87D5F" w:rsidRDefault="00A87D5F" w:rsidP="00A93D7F">
      <w:r>
        <w:t xml:space="preserve">Решение задачи </w:t>
      </w:r>
      <w:r w:rsidRPr="00B47F48">
        <w:rPr>
          <w:i/>
        </w:rPr>
        <w:t>развития развитие трудового потенциала региона, управление структурой и качеством рабочей силы</w:t>
      </w:r>
      <w:r>
        <w:t xml:space="preserve"> будет обеспечено за счет реализации комплекса мероприятий:</w:t>
      </w:r>
    </w:p>
    <w:p w14:paraId="7C57206B" w14:textId="77777777" w:rsidR="00A87D5F" w:rsidRDefault="00A87D5F" w:rsidP="00A93D7F">
      <w:pPr>
        <w:pStyle w:val="a0"/>
        <w:numPr>
          <w:ilvl w:val="0"/>
          <w:numId w:val="70"/>
        </w:numPr>
      </w:pPr>
      <w:r>
        <w:t>повышение качества рабочих мест;</w:t>
      </w:r>
    </w:p>
    <w:p w14:paraId="35839D63" w14:textId="77777777" w:rsidR="00A87D5F" w:rsidRDefault="00A87D5F" w:rsidP="00A93D7F">
      <w:pPr>
        <w:pStyle w:val="a0"/>
        <w:numPr>
          <w:ilvl w:val="0"/>
          <w:numId w:val="70"/>
        </w:numPr>
      </w:pPr>
      <w:r>
        <w:t>повышение эффективности регулирования процессов на рынке труда, вовлечение общественного ресурса для достижения целей развития региона;</w:t>
      </w:r>
    </w:p>
    <w:p w14:paraId="1539A3D4" w14:textId="77777777" w:rsidR="00A87D5F" w:rsidRDefault="00A87D5F" w:rsidP="00A93D7F">
      <w:pPr>
        <w:pStyle w:val="a0"/>
        <w:numPr>
          <w:ilvl w:val="0"/>
          <w:numId w:val="70"/>
        </w:numPr>
      </w:pPr>
      <w:r>
        <w:lastRenderedPageBreak/>
        <w:t>реализация системы государственных гарантий защиты от безработицы;</w:t>
      </w:r>
    </w:p>
    <w:p w14:paraId="5F4EACB8" w14:textId="77777777" w:rsidR="00A87D5F" w:rsidRDefault="00A87D5F" w:rsidP="00A93D7F">
      <w:pPr>
        <w:pStyle w:val="a0"/>
        <w:numPr>
          <w:ilvl w:val="0"/>
          <w:numId w:val="70"/>
        </w:numPr>
      </w:pPr>
      <w:r>
        <w:t>использование возможности внешней и межрегиональной трудовой миграции для формирования квалифицированного кадрового потенциала;</w:t>
      </w:r>
    </w:p>
    <w:p w14:paraId="6844EB3A" w14:textId="77777777" w:rsidR="00A87D5F" w:rsidRDefault="00A87D5F" w:rsidP="00A93D7F">
      <w:pPr>
        <w:pStyle w:val="a0"/>
        <w:numPr>
          <w:ilvl w:val="0"/>
          <w:numId w:val="70"/>
        </w:numPr>
      </w:pPr>
      <w:r>
        <w:t>повышение мобильности рабочей силы на районном рынке труда;</w:t>
      </w:r>
    </w:p>
    <w:p w14:paraId="37010EDA" w14:textId="77777777" w:rsidR="00A87D5F" w:rsidRDefault="00A87D5F" w:rsidP="00A93D7F">
      <w:pPr>
        <w:pStyle w:val="a0"/>
        <w:numPr>
          <w:ilvl w:val="0"/>
          <w:numId w:val="70"/>
        </w:numPr>
      </w:pPr>
      <w:r>
        <w:t>совершенствование системы мониторинга и прогнозирования ситуации на районном рынке труда;</w:t>
      </w:r>
    </w:p>
    <w:p w14:paraId="3EA3818F" w14:textId="77777777" w:rsidR="00A87D5F" w:rsidRDefault="00A87D5F" w:rsidP="00A93D7F">
      <w:pPr>
        <w:pStyle w:val="a0"/>
        <w:numPr>
          <w:ilvl w:val="0"/>
          <w:numId w:val="70"/>
        </w:numPr>
      </w:pPr>
      <w:r>
        <w:t>развитие социального и частно-государственного партнерства;</w:t>
      </w:r>
    </w:p>
    <w:p w14:paraId="21AE25EA" w14:textId="77777777" w:rsidR="00A87D5F" w:rsidRDefault="00A87D5F" w:rsidP="00A93D7F">
      <w:pPr>
        <w:pStyle w:val="a0"/>
        <w:numPr>
          <w:ilvl w:val="0"/>
          <w:numId w:val="70"/>
        </w:numPr>
      </w:pPr>
      <w:r>
        <w:t>совершенствование механизма государственного посредничества на региональном рынке труда;</w:t>
      </w:r>
    </w:p>
    <w:p w14:paraId="30F1491E" w14:textId="77777777" w:rsidR="00A87D5F" w:rsidRDefault="00A87D5F" w:rsidP="00A93D7F">
      <w:pPr>
        <w:pStyle w:val="a0"/>
        <w:numPr>
          <w:ilvl w:val="0"/>
          <w:numId w:val="70"/>
        </w:numPr>
      </w:pPr>
      <w:r>
        <w:t>сокращение времени поиска работы и работника на рынке труда, повышение информированности населения района о ситуации на рынке труда и в сфере социально-трудовых отношений в целом.</w:t>
      </w:r>
    </w:p>
    <w:p w14:paraId="7B1C00C9" w14:textId="77777777" w:rsidR="00A87D5F" w:rsidRDefault="00A87D5F" w:rsidP="00A93D7F"/>
    <w:p w14:paraId="3C2C1BB9" w14:textId="39B82D97" w:rsidR="00A87D5F" w:rsidRDefault="00A87D5F" w:rsidP="00A93D7F">
      <w:pPr>
        <w:pStyle w:val="4"/>
      </w:pPr>
      <w:bookmarkStart w:id="24" w:name="_Toc504055108"/>
      <w:r>
        <w:t xml:space="preserve">Направление </w:t>
      </w:r>
      <w:r w:rsidR="00AA5C26">
        <w:t>«Культур</w:t>
      </w:r>
      <w:r w:rsidR="00595717">
        <w:t>а и спорт»</w:t>
      </w:r>
      <w:bookmarkEnd w:id="24"/>
    </w:p>
    <w:p w14:paraId="60043A2D" w14:textId="77777777" w:rsidR="00A87D5F" w:rsidRDefault="00A87D5F" w:rsidP="00A93D7F"/>
    <w:p w14:paraId="1AF70243" w14:textId="6F482769" w:rsidR="00595717" w:rsidRPr="00A41CCC" w:rsidRDefault="00595717" w:rsidP="00A93D7F">
      <w:r w:rsidRPr="0015354B">
        <w:t xml:space="preserve">Цель – </w:t>
      </w:r>
      <w:r w:rsidR="0015354B" w:rsidRPr="0015354B">
        <w:t>создание</w:t>
      </w:r>
      <w:r w:rsidR="0015354B">
        <w:t xml:space="preserve"> среды, способствующей культурному развитию населения Нефтеюганского района.</w:t>
      </w:r>
    </w:p>
    <w:p w14:paraId="111E932B" w14:textId="77777777" w:rsidR="00595717" w:rsidRDefault="00595717" w:rsidP="00A93D7F">
      <w:r>
        <w:t xml:space="preserve">Для достижения обозначенной цели будут решены следующие задачи: </w:t>
      </w:r>
    </w:p>
    <w:p w14:paraId="7989E70F" w14:textId="60FA9297" w:rsidR="00595717" w:rsidRPr="007C4A7A" w:rsidRDefault="00595717" w:rsidP="00A93D7F">
      <w:pPr>
        <w:pStyle w:val="a0"/>
        <w:numPr>
          <w:ilvl w:val="0"/>
          <w:numId w:val="71"/>
        </w:numPr>
      </w:pPr>
      <w:r w:rsidRPr="007C4A7A">
        <w:t>сохранение культурного и исторического наследия района</w:t>
      </w:r>
      <w:r w:rsidR="00E16D68">
        <w:t>, продвижение культурного обмена на внешние культурные рынки</w:t>
      </w:r>
      <w:r w:rsidR="007C4A7A" w:rsidRPr="007C4A7A">
        <w:t>;</w:t>
      </w:r>
    </w:p>
    <w:p w14:paraId="4F97EDEC" w14:textId="5390BAEF" w:rsidR="00595717" w:rsidRPr="007C4A7A" w:rsidRDefault="00595717" w:rsidP="00A93D7F">
      <w:pPr>
        <w:pStyle w:val="a0"/>
        <w:numPr>
          <w:ilvl w:val="0"/>
          <w:numId w:val="71"/>
        </w:numPr>
      </w:pPr>
      <w:r w:rsidRPr="007C4A7A">
        <w:t>удовлетворение потребностей населения в культурном развитии, обеспечение равного доступа к культурным ценностям и информации</w:t>
      </w:r>
      <w:r w:rsidR="007C4A7A" w:rsidRPr="007C4A7A">
        <w:t>;</w:t>
      </w:r>
    </w:p>
    <w:p w14:paraId="6FD26810" w14:textId="19E49BC3" w:rsidR="00595717" w:rsidRPr="007C4A7A" w:rsidRDefault="007C4A7A" w:rsidP="00A93D7F">
      <w:pPr>
        <w:pStyle w:val="a0"/>
        <w:numPr>
          <w:ilvl w:val="0"/>
          <w:numId w:val="71"/>
        </w:numPr>
      </w:pPr>
      <w:r w:rsidRPr="007C4A7A">
        <w:t>обеспечение равного доступа населения района к физкультурно-оздоровительным услугам.</w:t>
      </w:r>
    </w:p>
    <w:p w14:paraId="72603EAF" w14:textId="77777777" w:rsidR="007C4A7A" w:rsidRDefault="007C4A7A" w:rsidP="00A93D7F"/>
    <w:p w14:paraId="12A09058" w14:textId="00809C58" w:rsidR="007C4A7A" w:rsidRDefault="007C4A7A" w:rsidP="00A93D7F">
      <w:r>
        <w:t xml:space="preserve">Решение </w:t>
      </w:r>
      <w:r w:rsidRPr="00B47F48">
        <w:rPr>
          <w:i/>
        </w:rPr>
        <w:t>задачи по сохранению культурного и исторического наследия района</w:t>
      </w:r>
      <w:r w:rsidR="00E16D68" w:rsidRPr="00B47F48">
        <w:rPr>
          <w:i/>
        </w:rPr>
        <w:t xml:space="preserve"> и продвижению культурного обмена</w:t>
      </w:r>
      <w:r>
        <w:t xml:space="preserve"> будет обеспечено за счет реализации комплекса мероприятий:</w:t>
      </w:r>
    </w:p>
    <w:p w14:paraId="5FACB65D" w14:textId="77777777" w:rsidR="00D95D0D" w:rsidRPr="00DB460D" w:rsidRDefault="00D95D0D" w:rsidP="00A93D7F">
      <w:pPr>
        <w:pStyle w:val="a0"/>
        <w:numPr>
          <w:ilvl w:val="0"/>
          <w:numId w:val="72"/>
        </w:numPr>
      </w:pPr>
      <w:r w:rsidRPr="00DB460D">
        <w:t xml:space="preserve">популяризация деятельности в области сохранения культурного наследия и развития культуры и искусства, </w:t>
      </w:r>
    </w:p>
    <w:p w14:paraId="7FDCECB7" w14:textId="77777777" w:rsidR="00D95D0D" w:rsidRPr="00DB460D" w:rsidRDefault="00D95D0D" w:rsidP="00A93D7F">
      <w:pPr>
        <w:pStyle w:val="a0"/>
        <w:numPr>
          <w:ilvl w:val="0"/>
          <w:numId w:val="72"/>
        </w:numPr>
      </w:pPr>
      <w:r w:rsidRPr="00DB460D">
        <w:t>совершенствование системы государственного управления в части регулирования деятельности по охране объектов культурного наследия;</w:t>
      </w:r>
    </w:p>
    <w:p w14:paraId="59722E00" w14:textId="77777777" w:rsidR="00D95D0D" w:rsidRPr="00DB460D" w:rsidRDefault="00D95D0D" w:rsidP="00A93D7F">
      <w:pPr>
        <w:pStyle w:val="a0"/>
        <w:numPr>
          <w:ilvl w:val="0"/>
          <w:numId w:val="72"/>
        </w:numPr>
      </w:pPr>
      <w:r w:rsidRPr="00DB460D">
        <w:t>обеспечение сохранности историко-культурного наследия, пополнение библиотечных и музейных фондов;</w:t>
      </w:r>
    </w:p>
    <w:p w14:paraId="0C5BAA38" w14:textId="77777777" w:rsidR="00D95D0D" w:rsidRPr="00DB460D" w:rsidRDefault="00D95D0D" w:rsidP="00A93D7F">
      <w:pPr>
        <w:pStyle w:val="a0"/>
        <w:numPr>
          <w:ilvl w:val="0"/>
          <w:numId w:val="72"/>
        </w:numPr>
      </w:pPr>
      <w:r w:rsidRPr="00DB460D">
        <w:t>восстановление памятников истории и культуры с высокой степенью разрушения, повреждения и уничтожения;</w:t>
      </w:r>
    </w:p>
    <w:p w14:paraId="339DCF41" w14:textId="77777777" w:rsidR="00D95D0D" w:rsidRPr="00DB460D" w:rsidRDefault="00D95D0D" w:rsidP="00A93D7F">
      <w:pPr>
        <w:pStyle w:val="a0"/>
        <w:numPr>
          <w:ilvl w:val="0"/>
          <w:numId w:val="72"/>
        </w:numPr>
      </w:pPr>
      <w:r w:rsidRPr="00DB460D">
        <w:t>поддержка профессионального искусства и коллективов самодеятельного народного творчества;</w:t>
      </w:r>
    </w:p>
    <w:p w14:paraId="4824D132" w14:textId="7F87484C" w:rsidR="00D95D0D" w:rsidRDefault="00D95D0D" w:rsidP="00A93D7F">
      <w:pPr>
        <w:pStyle w:val="a0"/>
        <w:numPr>
          <w:ilvl w:val="0"/>
          <w:numId w:val="72"/>
        </w:numPr>
      </w:pPr>
      <w:r w:rsidRPr="00DB460D">
        <w:t>поддержка этнокультурного развития коренны</w:t>
      </w:r>
      <w:r>
        <w:t xml:space="preserve">х малочисленных народов Севера и </w:t>
      </w:r>
      <w:r w:rsidR="00E16D68">
        <w:t>Сибири;</w:t>
      </w:r>
    </w:p>
    <w:p w14:paraId="1AA21557" w14:textId="77777777" w:rsidR="00E16D68" w:rsidRPr="00DB460D" w:rsidRDefault="00E16D68" w:rsidP="00A93D7F">
      <w:pPr>
        <w:pStyle w:val="a0"/>
        <w:numPr>
          <w:ilvl w:val="0"/>
          <w:numId w:val="72"/>
        </w:numPr>
      </w:pPr>
      <w:r w:rsidRPr="00DB460D">
        <w:t xml:space="preserve">продвижение культуры </w:t>
      </w:r>
      <w:r>
        <w:t>Нефтеюганского района</w:t>
      </w:r>
      <w:r w:rsidRPr="00DB460D">
        <w:t xml:space="preserve"> за его пределами в форме гастролей, участия в конкурсах, выставках и фестивалях в России и за рубежом</w:t>
      </w:r>
      <w:r>
        <w:t xml:space="preserve"> и пр.</w:t>
      </w:r>
      <w:r w:rsidRPr="00DB460D">
        <w:t>;</w:t>
      </w:r>
    </w:p>
    <w:p w14:paraId="7DAAC059" w14:textId="4A936E01" w:rsidR="00E16D68" w:rsidRPr="00DB460D" w:rsidRDefault="00E16D68" w:rsidP="00A93D7F">
      <w:pPr>
        <w:pStyle w:val="a0"/>
        <w:numPr>
          <w:ilvl w:val="0"/>
          <w:numId w:val="72"/>
        </w:numPr>
      </w:pPr>
      <w:r>
        <w:t>формирование</w:t>
      </w:r>
      <w:r w:rsidRPr="00DB460D">
        <w:t xml:space="preserve"> устойчивого </w:t>
      </w:r>
      <w:r>
        <w:t>имиджа</w:t>
      </w:r>
      <w:r w:rsidRPr="00DB460D">
        <w:t xml:space="preserve"> </w:t>
      </w:r>
      <w:r>
        <w:t>Нефтеюганского района</w:t>
      </w:r>
      <w:r w:rsidRPr="00DB460D">
        <w:t xml:space="preserve"> как территории культурных традиций и творческих инноваций.</w:t>
      </w:r>
    </w:p>
    <w:p w14:paraId="7BCF6D9A" w14:textId="77777777" w:rsidR="00D95D0D" w:rsidRDefault="00D95D0D" w:rsidP="00A93D7F"/>
    <w:p w14:paraId="7380021D" w14:textId="441020E6" w:rsidR="00D95D0D" w:rsidRDefault="00D95D0D" w:rsidP="00A93D7F">
      <w:r>
        <w:t xml:space="preserve">Решение </w:t>
      </w:r>
      <w:r w:rsidRPr="00B47F48">
        <w:rPr>
          <w:i/>
        </w:rPr>
        <w:t xml:space="preserve">задачи по удовлетворению потребностей населения в </w:t>
      </w:r>
      <w:r w:rsidR="00E16D68" w:rsidRPr="00B47F48">
        <w:rPr>
          <w:i/>
        </w:rPr>
        <w:t>культурном развитии, обеспечению</w:t>
      </w:r>
      <w:r w:rsidRPr="00B47F48">
        <w:rPr>
          <w:i/>
        </w:rPr>
        <w:t xml:space="preserve"> равного доступа к культурным ценностям и информации</w:t>
      </w:r>
      <w:r>
        <w:t xml:space="preserve"> будет обеспечено за счет реализации комплекса мероприятий:</w:t>
      </w:r>
    </w:p>
    <w:p w14:paraId="022D6C70" w14:textId="77777777" w:rsidR="00E16D68" w:rsidRDefault="00E16D68" w:rsidP="00A93D7F">
      <w:pPr>
        <w:pStyle w:val="a0"/>
        <w:numPr>
          <w:ilvl w:val="0"/>
          <w:numId w:val="73"/>
        </w:numPr>
      </w:pPr>
      <w:r>
        <w:lastRenderedPageBreak/>
        <w:t>с</w:t>
      </w:r>
      <w:r w:rsidRPr="00DB460D">
        <w:t xml:space="preserve">оздание современных условий для работы </w:t>
      </w:r>
      <w:r>
        <w:t>районных учреждений культуры, включая оптимизацию</w:t>
      </w:r>
      <w:r w:rsidRPr="00DB460D">
        <w:t xml:space="preserve"> деятельности повышения внебюджетных поступлений от приносящей доход уставной д</w:t>
      </w:r>
      <w:r>
        <w:t xml:space="preserve">еятельности учреждений культуры, и </w:t>
      </w:r>
      <w:r w:rsidRPr="00DB460D">
        <w:t>совершенствование организационных, экономических и правовых мех</w:t>
      </w:r>
      <w:r>
        <w:t>анизмов развития сферы культуры;</w:t>
      </w:r>
    </w:p>
    <w:p w14:paraId="23A5BAB6" w14:textId="77777777" w:rsidR="00E16D68" w:rsidRPr="00DB460D" w:rsidRDefault="00E16D68" w:rsidP="00A93D7F">
      <w:pPr>
        <w:pStyle w:val="a0"/>
        <w:numPr>
          <w:ilvl w:val="0"/>
          <w:numId w:val="73"/>
        </w:numPr>
      </w:pPr>
      <w:r w:rsidRPr="00DB460D">
        <w:t>создание условий для повышения качества и разнообразия услуг, предоставляемых культурно-досуговыми учреждениями;</w:t>
      </w:r>
    </w:p>
    <w:p w14:paraId="27F8B089" w14:textId="77777777" w:rsidR="00E16D68" w:rsidRPr="00DB460D" w:rsidRDefault="00E16D68" w:rsidP="00A93D7F">
      <w:pPr>
        <w:pStyle w:val="a0"/>
        <w:numPr>
          <w:ilvl w:val="0"/>
          <w:numId w:val="73"/>
        </w:numPr>
      </w:pPr>
      <w:r>
        <w:t>р</w:t>
      </w:r>
      <w:r w:rsidRPr="002350F5">
        <w:t>азвитие сети учреждений культуры и искусства, дальнейшее р</w:t>
      </w:r>
      <w:r>
        <w:t xml:space="preserve">азвитие инфраструктуры культуры, включая </w:t>
      </w:r>
      <w:r w:rsidRPr="00DB460D">
        <w:t>укрепление материально-технической базы учреждений культуры и искусств</w:t>
      </w:r>
      <w:r>
        <w:t>а, художественного образования, модернизацию</w:t>
      </w:r>
      <w:r w:rsidRPr="00DB460D">
        <w:t xml:space="preserve"> и ремонт организаций культуры</w:t>
      </w:r>
      <w:r>
        <w:t>;</w:t>
      </w:r>
    </w:p>
    <w:p w14:paraId="0A994F24" w14:textId="77777777" w:rsidR="00E16D68" w:rsidRPr="002350F5" w:rsidRDefault="00E16D68" w:rsidP="00A93D7F">
      <w:pPr>
        <w:pStyle w:val="a0"/>
        <w:numPr>
          <w:ilvl w:val="0"/>
          <w:numId w:val="73"/>
        </w:numPr>
      </w:pPr>
      <w:r>
        <w:t>р</w:t>
      </w:r>
      <w:r w:rsidRPr="002350F5">
        <w:t>азвитие самодеятельного творчества и совершенствование к</w:t>
      </w:r>
      <w:r>
        <w:t>ультурно-досуговой деятельности;</w:t>
      </w:r>
    </w:p>
    <w:p w14:paraId="367DC39D" w14:textId="77777777" w:rsidR="00E16D68" w:rsidRPr="00DB460D" w:rsidRDefault="00E16D68" w:rsidP="00A93D7F">
      <w:pPr>
        <w:pStyle w:val="a0"/>
        <w:numPr>
          <w:ilvl w:val="0"/>
          <w:numId w:val="73"/>
        </w:numPr>
      </w:pPr>
      <w:r w:rsidRPr="00DB460D">
        <w:t>создание условий для сохранения и развития исполнительских искусств и поддержки народного творчества;</w:t>
      </w:r>
    </w:p>
    <w:p w14:paraId="11C625F8" w14:textId="77777777" w:rsidR="00E16D68" w:rsidRPr="00DB460D" w:rsidRDefault="00E16D68" w:rsidP="00A93D7F">
      <w:pPr>
        <w:pStyle w:val="a0"/>
        <w:numPr>
          <w:ilvl w:val="0"/>
          <w:numId w:val="73"/>
        </w:numPr>
      </w:pPr>
      <w:r w:rsidRPr="00DB460D">
        <w:t>поддержка самодеятельного художественного творчества;</w:t>
      </w:r>
    </w:p>
    <w:p w14:paraId="79AB5CF4" w14:textId="77777777" w:rsidR="00E16D68" w:rsidRPr="00DB460D" w:rsidRDefault="00E16D68" w:rsidP="00A93D7F">
      <w:pPr>
        <w:pStyle w:val="a0"/>
        <w:numPr>
          <w:ilvl w:val="0"/>
          <w:numId w:val="73"/>
        </w:numPr>
      </w:pPr>
      <w:r w:rsidRPr="00DB460D">
        <w:t>сохранение традиционной народной культуры;</w:t>
      </w:r>
    </w:p>
    <w:p w14:paraId="3E19EFE1" w14:textId="77777777" w:rsidR="00E16D68" w:rsidRPr="00DB460D" w:rsidRDefault="00E16D68" w:rsidP="00A93D7F">
      <w:pPr>
        <w:pStyle w:val="a0"/>
        <w:numPr>
          <w:ilvl w:val="0"/>
          <w:numId w:val="73"/>
        </w:numPr>
      </w:pPr>
      <w:r w:rsidRPr="00DB460D">
        <w:t>активизация работы по поддержке молодежных инициатив в сфере культуры;</w:t>
      </w:r>
    </w:p>
    <w:p w14:paraId="041472AB" w14:textId="77777777" w:rsidR="00E16D68" w:rsidRPr="00DB460D" w:rsidRDefault="00E16D68" w:rsidP="00A93D7F">
      <w:pPr>
        <w:pStyle w:val="a0"/>
        <w:numPr>
          <w:ilvl w:val="0"/>
          <w:numId w:val="73"/>
        </w:numPr>
      </w:pPr>
      <w:r w:rsidRPr="00DB460D">
        <w:t>оказание финансовой п</w:t>
      </w:r>
      <w:r>
        <w:t>оддержки творческим коллективам;</w:t>
      </w:r>
    </w:p>
    <w:p w14:paraId="1F7FBB20" w14:textId="77777777" w:rsidR="00E16D68" w:rsidRPr="00DB460D" w:rsidRDefault="00E16D68" w:rsidP="00A93D7F">
      <w:pPr>
        <w:pStyle w:val="a0"/>
        <w:numPr>
          <w:ilvl w:val="0"/>
          <w:numId w:val="73"/>
        </w:numPr>
      </w:pPr>
      <w:r>
        <w:t>п</w:t>
      </w:r>
      <w:r w:rsidRPr="002350F5">
        <w:t>овышение кадрового потенциала учреждений культуры и</w:t>
      </w:r>
      <w:r>
        <w:t xml:space="preserve"> искусства, включая </w:t>
      </w:r>
      <w:r w:rsidRPr="00DB460D">
        <w:t>модернизац</w:t>
      </w:r>
      <w:r>
        <w:t>ию</w:t>
      </w:r>
      <w:r w:rsidRPr="00DB460D">
        <w:t xml:space="preserve"> системы подготовки кадров</w:t>
      </w:r>
      <w:r>
        <w:t>, поддержку</w:t>
      </w:r>
      <w:r w:rsidRPr="00DB460D">
        <w:t xml:space="preserve"> молодых дарований и педагогических работников учреждений художественного образовани</w:t>
      </w:r>
      <w:r>
        <w:t xml:space="preserve">я, профессионального искусства, </w:t>
      </w:r>
      <w:r w:rsidRPr="00DB460D">
        <w:t>повышение уровня оплаты тру</w:t>
      </w:r>
      <w:r>
        <w:t>да в сфере культуры и искусства;</w:t>
      </w:r>
    </w:p>
    <w:p w14:paraId="023A8C87" w14:textId="77777777" w:rsidR="00E16D68" w:rsidRPr="00DB460D" w:rsidRDefault="00E16D68" w:rsidP="00A93D7F">
      <w:pPr>
        <w:pStyle w:val="a0"/>
        <w:numPr>
          <w:ilvl w:val="0"/>
          <w:numId w:val="73"/>
        </w:numPr>
      </w:pPr>
      <w:r>
        <w:t>с</w:t>
      </w:r>
      <w:r w:rsidRPr="00441A46">
        <w:t>охранение и развитие непрерывной сист</w:t>
      </w:r>
      <w:r>
        <w:t xml:space="preserve">емы художественного образования, включая </w:t>
      </w:r>
      <w:r w:rsidRPr="00DB460D">
        <w:t xml:space="preserve">обеспечение максимальной доступности образования </w:t>
      </w:r>
      <w:r>
        <w:t>и подготовку</w:t>
      </w:r>
      <w:r w:rsidRPr="00DB460D">
        <w:t xml:space="preserve"> квалифицированных кадров для проведения реставрационных работ на объектах культурного наследия, в фондах музеев и библиотек.</w:t>
      </w:r>
    </w:p>
    <w:p w14:paraId="14BF18F7" w14:textId="77777777" w:rsidR="00E16D68" w:rsidRDefault="00E16D68" w:rsidP="00A93D7F"/>
    <w:p w14:paraId="3B1C64E6" w14:textId="4EFA6E51" w:rsidR="00E16D68" w:rsidRDefault="00E16D68" w:rsidP="00A93D7F">
      <w:r>
        <w:t xml:space="preserve">Решение задачи </w:t>
      </w:r>
      <w:r w:rsidRPr="00B47F48">
        <w:rPr>
          <w:i/>
        </w:rPr>
        <w:t>по обеспечению равного доступа населения района к физкультурно-оздоровительным услугам</w:t>
      </w:r>
      <w:r>
        <w:t xml:space="preserve"> будет обеспечено за счет реализации комплекса мероприятий:</w:t>
      </w:r>
    </w:p>
    <w:p w14:paraId="26C58437" w14:textId="77777777" w:rsidR="00161493" w:rsidRDefault="00161493" w:rsidP="00A93D7F">
      <w:pPr>
        <w:pStyle w:val="a0"/>
        <w:numPr>
          <w:ilvl w:val="0"/>
          <w:numId w:val="74"/>
        </w:numPr>
      </w:pPr>
      <w:r>
        <w:t>развитие организационно-управленческого, правового, кадрового, научно-методического, медицинского обеспечения физкультурно-спортивной деятельности;</w:t>
      </w:r>
    </w:p>
    <w:p w14:paraId="026E0AC6" w14:textId="77777777" w:rsidR="00161493" w:rsidRDefault="00161493" w:rsidP="00A93D7F">
      <w:pPr>
        <w:pStyle w:val="a0"/>
        <w:numPr>
          <w:ilvl w:val="0"/>
          <w:numId w:val="74"/>
        </w:numPr>
      </w:pPr>
      <w:r>
        <w:t>создание условий для частно-государственного партнерства в сфере физкультуры и спорта;</w:t>
      </w:r>
    </w:p>
    <w:p w14:paraId="52A00AC5" w14:textId="77777777" w:rsidR="00161493" w:rsidRDefault="00161493" w:rsidP="00A93D7F">
      <w:pPr>
        <w:pStyle w:val="a0"/>
        <w:numPr>
          <w:ilvl w:val="0"/>
          <w:numId w:val="74"/>
        </w:numPr>
      </w:pPr>
      <w:r>
        <w:t>реализация крупных инвестиционных проектов в сфере физической культуры и спорта;</w:t>
      </w:r>
    </w:p>
    <w:p w14:paraId="60CA144A" w14:textId="77777777" w:rsidR="00161493" w:rsidRDefault="00161493" w:rsidP="00A93D7F">
      <w:pPr>
        <w:pStyle w:val="a0"/>
        <w:numPr>
          <w:ilvl w:val="0"/>
          <w:numId w:val="74"/>
        </w:numPr>
      </w:pPr>
      <w:r>
        <w:t>совершенствование финансового обеспечения физкультурно-спортивной деятельности;</w:t>
      </w:r>
    </w:p>
    <w:p w14:paraId="43793ADE" w14:textId="77777777" w:rsidR="00161493" w:rsidRDefault="00161493" w:rsidP="00A93D7F">
      <w:pPr>
        <w:pStyle w:val="a0"/>
        <w:numPr>
          <w:ilvl w:val="0"/>
          <w:numId w:val="74"/>
        </w:numPr>
      </w:pPr>
      <w:r>
        <w:t>создание системы обеспечения безопасности на объектах спорта;</w:t>
      </w:r>
    </w:p>
    <w:p w14:paraId="1CD42447" w14:textId="77777777" w:rsidR="00161493" w:rsidRDefault="00161493" w:rsidP="00A93D7F">
      <w:pPr>
        <w:pStyle w:val="a0"/>
        <w:numPr>
          <w:ilvl w:val="0"/>
          <w:numId w:val="74"/>
        </w:numPr>
      </w:pPr>
      <w:r>
        <w:t>подготовка квалифицированных кадров физкультуры и спорта;</w:t>
      </w:r>
    </w:p>
    <w:p w14:paraId="1180722A" w14:textId="77777777" w:rsidR="00161493" w:rsidRDefault="00161493" w:rsidP="00A93D7F">
      <w:pPr>
        <w:pStyle w:val="a0"/>
        <w:numPr>
          <w:ilvl w:val="0"/>
          <w:numId w:val="74"/>
        </w:numPr>
      </w:pPr>
      <w:r>
        <w:t>разработка комплекса мер по максимальному охвату населения района пропагандой физической культуры и спорта как важнейшей составляющей здорового образа жизни;</w:t>
      </w:r>
    </w:p>
    <w:p w14:paraId="07A87BD8" w14:textId="77777777" w:rsidR="00161493" w:rsidRDefault="00161493" w:rsidP="00A93D7F">
      <w:pPr>
        <w:pStyle w:val="a0"/>
        <w:numPr>
          <w:ilvl w:val="0"/>
          <w:numId w:val="74"/>
        </w:numPr>
      </w:pPr>
      <w:r>
        <w:t xml:space="preserve">модернизация системы физического воспитания различных категорий и групп населения, в том числе дошкольных, школьных и профессиональных </w:t>
      </w:r>
      <w:r>
        <w:lastRenderedPageBreak/>
        <w:t>образовательных организаций, учреждений дополнительного образования детей;</w:t>
      </w:r>
    </w:p>
    <w:p w14:paraId="65A3C4FD" w14:textId="77777777" w:rsidR="00161493" w:rsidRDefault="00161493" w:rsidP="00A93D7F">
      <w:pPr>
        <w:pStyle w:val="a0"/>
        <w:numPr>
          <w:ilvl w:val="0"/>
          <w:numId w:val="74"/>
        </w:numPr>
      </w:pPr>
      <w:r>
        <w:t>обеспечение возможности вести здоровый образ жизни, систематически заниматься физической культурой и спортом, получать доступа к спортивной инфраструктуре;</w:t>
      </w:r>
    </w:p>
    <w:p w14:paraId="56C90E9A" w14:textId="77777777" w:rsidR="00161493" w:rsidRDefault="00161493" w:rsidP="00A93D7F">
      <w:pPr>
        <w:pStyle w:val="a0"/>
        <w:numPr>
          <w:ilvl w:val="0"/>
          <w:numId w:val="74"/>
        </w:numPr>
      </w:pPr>
      <w:r>
        <w:t>развитие материально-технической базы физической культуры и спорта, повышение эффективности ее использования, в том числе развитие инфраструктуры для занятий массовым спортом по месту жительства и в образовательных учреждениях;</w:t>
      </w:r>
    </w:p>
    <w:p w14:paraId="7A420AF9" w14:textId="77777777" w:rsidR="00161493" w:rsidRDefault="00161493" w:rsidP="00A93D7F">
      <w:pPr>
        <w:pStyle w:val="a0"/>
        <w:numPr>
          <w:ilvl w:val="0"/>
          <w:numId w:val="74"/>
        </w:numPr>
      </w:pPr>
      <w:r>
        <w:t>совершенствование системы дополнительного образования в сфере физической культуры и спорта, развитие спортивных школ, секций и спортивных клубов для детей и взрослых, повышение качества предоставляемых услуг;</w:t>
      </w:r>
    </w:p>
    <w:p w14:paraId="52ABFB46" w14:textId="77777777" w:rsidR="00161493" w:rsidRDefault="00161493" w:rsidP="00A93D7F">
      <w:pPr>
        <w:pStyle w:val="a0"/>
        <w:numPr>
          <w:ilvl w:val="0"/>
          <w:numId w:val="74"/>
        </w:numPr>
      </w:pPr>
      <w:r>
        <w:t>продвижение в Нефтеюганском районе Всероссийского физкультурно-спортивного комплекса «Готов к труду и обороне»;</w:t>
      </w:r>
    </w:p>
    <w:p w14:paraId="2AD3A058" w14:textId="77777777" w:rsidR="00161493" w:rsidRDefault="00161493" w:rsidP="00A93D7F">
      <w:pPr>
        <w:pStyle w:val="a0"/>
        <w:numPr>
          <w:ilvl w:val="0"/>
          <w:numId w:val="74"/>
        </w:numPr>
      </w:pPr>
      <w:r>
        <w:t>развитие физической культуры и спорта среди людей с ограниченными возможностями здоровья и пожилого возраста;</w:t>
      </w:r>
    </w:p>
    <w:p w14:paraId="13BB29BC" w14:textId="77777777" w:rsidR="00161493" w:rsidRDefault="00161493" w:rsidP="00A93D7F">
      <w:pPr>
        <w:pStyle w:val="a0"/>
        <w:numPr>
          <w:ilvl w:val="0"/>
          <w:numId w:val="74"/>
        </w:numPr>
      </w:pPr>
      <w:r>
        <w:t>развитие системы районных физкультурно-массовых мероприятий, подготовка спортивного резерва;</w:t>
      </w:r>
    </w:p>
    <w:p w14:paraId="05721987" w14:textId="5CA588F6" w:rsidR="00B65598" w:rsidRDefault="00161493" w:rsidP="00A93D7F">
      <w:pPr>
        <w:pStyle w:val="a0"/>
        <w:numPr>
          <w:ilvl w:val="0"/>
          <w:numId w:val="74"/>
        </w:numPr>
      </w:pPr>
      <w:r>
        <w:t>развитие профессионального спорта, совершенствование подготовки спортсменов высокого класса и спортивного резерва, усиление мер социальной защиты спортсменов и тренеров, развитие системы подготовки и продвижения талантливой молодежи.</w:t>
      </w:r>
    </w:p>
    <w:p w14:paraId="069C6095" w14:textId="77777777" w:rsidR="004A33A7" w:rsidRDefault="004A33A7" w:rsidP="00A93D7F"/>
    <w:p w14:paraId="386FF6C6" w14:textId="77777777" w:rsidR="001B7D6B" w:rsidRDefault="001B7D6B" w:rsidP="00A93D7F"/>
    <w:p w14:paraId="217F058A" w14:textId="3BFEF029" w:rsidR="00322A9A" w:rsidRDefault="00D72922" w:rsidP="00427918">
      <w:pPr>
        <w:pStyle w:val="3"/>
      </w:pPr>
      <w:bookmarkStart w:id="25" w:name="_Toc504055109"/>
      <w:r>
        <w:t>Приоритет «Устойчивый экономический комплекс»</w:t>
      </w:r>
      <w:bookmarkEnd w:id="25"/>
      <w:r w:rsidR="00322A9A">
        <w:t xml:space="preserve"> </w:t>
      </w:r>
    </w:p>
    <w:p w14:paraId="1678E199" w14:textId="77777777" w:rsidR="00427918" w:rsidRPr="00427918" w:rsidRDefault="00427918" w:rsidP="00427918"/>
    <w:p w14:paraId="760008B2" w14:textId="3D677A58" w:rsidR="008B2CB1" w:rsidRDefault="0037716A" w:rsidP="00A93D7F">
      <w:pPr>
        <w:pStyle w:val="4"/>
      </w:pPr>
      <w:bookmarkStart w:id="26" w:name="_Toc504055110"/>
      <w:r>
        <w:t>Направление «</w:t>
      </w:r>
      <w:r w:rsidR="004B4418" w:rsidRPr="002F0084">
        <w:t>Развитие нефтегазодобычи и нефтегазопереработки</w:t>
      </w:r>
      <w:r>
        <w:t>»</w:t>
      </w:r>
      <w:bookmarkEnd w:id="26"/>
    </w:p>
    <w:p w14:paraId="4997FEC0" w14:textId="77777777" w:rsidR="006C0362" w:rsidRDefault="006C0362" w:rsidP="00A93D7F">
      <w:pPr>
        <w:rPr>
          <w:highlight w:val="red"/>
        </w:rPr>
      </w:pPr>
    </w:p>
    <w:p w14:paraId="0F0D1630" w14:textId="0E594A4A" w:rsidR="006C0362" w:rsidRPr="00D12F95" w:rsidRDefault="006C0362" w:rsidP="00A93D7F">
      <w:pPr>
        <w:rPr>
          <w:lang w:eastAsia="en-US"/>
        </w:rPr>
      </w:pPr>
      <w:r w:rsidRPr="00D12F95">
        <w:t xml:space="preserve">Целью </w:t>
      </w:r>
      <w:r w:rsidR="0037716A" w:rsidRPr="00D12F95">
        <w:t>направления «Развитие нефтегазодобычи и нефтегазопереработки» является</w:t>
      </w:r>
      <w:r w:rsidR="0037716A" w:rsidRPr="00D12F95">
        <w:rPr>
          <w:lang w:eastAsia="en-US"/>
        </w:rPr>
        <w:t xml:space="preserve"> </w:t>
      </w:r>
      <w:r w:rsidR="00D12F95" w:rsidRPr="00D12F95">
        <w:rPr>
          <w:lang w:eastAsia="en-US"/>
        </w:rPr>
        <w:t xml:space="preserve">инновационная трансформация нефтедобывающей отрасли и интеграция нефтедобывающих предприятий района в </w:t>
      </w:r>
      <w:r w:rsidR="00D12F95">
        <w:rPr>
          <w:lang w:eastAsia="en-US"/>
        </w:rPr>
        <w:t xml:space="preserve">региональный </w:t>
      </w:r>
      <w:r w:rsidR="00D12F95" w:rsidRPr="00D12F95">
        <w:rPr>
          <w:lang w:eastAsia="en-US"/>
        </w:rPr>
        <w:t>нефтегазоперерабатывающий кластер.</w:t>
      </w:r>
    </w:p>
    <w:p w14:paraId="6248A35A" w14:textId="77777777" w:rsidR="0037716A" w:rsidRPr="00A41CCC" w:rsidRDefault="0037716A" w:rsidP="00A93D7F"/>
    <w:p w14:paraId="0E189E9B" w14:textId="77777777" w:rsidR="00D12F95" w:rsidRPr="00881F56" w:rsidRDefault="006C0362" w:rsidP="00A93D7F">
      <w:r w:rsidRPr="00881F56">
        <w:t xml:space="preserve">Для достижения обозначенной цели будут решены следующие задачи: </w:t>
      </w:r>
    </w:p>
    <w:p w14:paraId="60EB33CE" w14:textId="0F6C812D" w:rsidR="00201BB0" w:rsidRPr="00881F56" w:rsidRDefault="00D12F95" w:rsidP="00EB6927">
      <w:pPr>
        <w:pStyle w:val="a0"/>
        <w:numPr>
          <w:ilvl w:val="0"/>
          <w:numId w:val="78"/>
        </w:numPr>
      </w:pPr>
      <w:r w:rsidRPr="00881F56">
        <w:t>организация разработки</w:t>
      </w:r>
      <w:r w:rsidR="00201BB0" w:rsidRPr="00881F56">
        <w:t xml:space="preserve"> </w:t>
      </w:r>
      <w:r w:rsidR="00180B21" w:rsidRPr="00881F56">
        <w:t>трудноизвлекаемых запасов нефти</w:t>
      </w:r>
      <w:r w:rsidRPr="00881F56">
        <w:t>, п</w:t>
      </w:r>
      <w:r w:rsidR="00201BB0" w:rsidRPr="00881F56">
        <w:t>овышение качес</w:t>
      </w:r>
      <w:r w:rsidR="00EB6927" w:rsidRPr="00881F56">
        <w:t>тва добычи полезных ископаемых (</w:t>
      </w:r>
      <w:r w:rsidR="00790B8B" w:rsidRPr="00881F56">
        <w:t>отдачи пластов и их довыработки</w:t>
      </w:r>
      <w:r w:rsidR="00881F56" w:rsidRPr="00881F56">
        <w:t xml:space="preserve">), </w:t>
      </w:r>
      <w:r w:rsidR="00201BB0" w:rsidRPr="00881F56">
        <w:t>уровня</w:t>
      </w:r>
      <w:r w:rsidR="00881F56" w:rsidRPr="00881F56">
        <w:t xml:space="preserve"> переработки нефти и переработки</w:t>
      </w:r>
      <w:r w:rsidR="00201BB0" w:rsidRPr="00881F56">
        <w:t xml:space="preserve"> попутного нефтяного газа как для нужд экономики района (диверсификация топливно-энергетического баланса), так и для производства газохимической продукции на свободный рынок</w:t>
      </w:r>
      <w:r w:rsidR="00383744" w:rsidRPr="00881F56">
        <w:t>;</w:t>
      </w:r>
    </w:p>
    <w:p w14:paraId="6102BE6D" w14:textId="7011D386" w:rsidR="00383744" w:rsidRPr="00881F56" w:rsidRDefault="00383744" w:rsidP="00A93D7F">
      <w:pPr>
        <w:pStyle w:val="a0"/>
        <w:numPr>
          <w:ilvl w:val="0"/>
          <w:numId w:val="78"/>
        </w:numPr>
      </w:pPr>
      <w:r w:rsidRPr="00881F56">
        <w:t>модернизация транспортно-логистической системы и трубопроводного транспорта.</w:t>
      </w:r>
    </w:p>
    <w:p w14:paraId="052BC172" w14:textId="77777777" w:rsidR="00790B8B" w:rsidRDefault="00790B8B" w:rsidP="00A93D7F">
      <w:pPr>
        <w:rPr>
          <w:highlight w:val="yellow"/>
        </w:rPr>
      </w:pPr>
    </w:p>
    <w:p w14:paraId="371E82DC" w14:textId="3E6E8FD5" w:rsidR="002A2F37" w:rsidRPr="00314C5F" w:rsidRDefault="00790B8B" w:rsidP="00A93D7F">
      <w:r w:rsidRPr="00314C5F">
        <w:rPr>
          <w:i/>
        </w:rPr>
        <w:t>Организация р</w:t>
      </w:r>
      <w:r w:rsidRPr="00314C5F">
        <w:rPr>
          <w:rFonts w:eastAsia="Times New Roman"/>
          <w:i/>
          <w:color w:val="000000"/>
          <w:szCs w:val="20"/>
        </w:rPr>
        <w:t>азработки трудноизвлекаемых запасов нефти</w:t>
      </w:r>
      <w:r w:rsidRPr="00314C5F">
        <w:rPr>
          <w:i/>
        </w:rPr>
        <w:t xml:space="preserve"> </w:t>
      </w:r>
      <w:r w:rsidR="00881F56" w:rsidRPr="00314C5F">
        <w:rPr>
          <w:i/>
        </w:rPr>
        <w:t>и повышение уровня переработки нефти и переработки попутного нефтяного газа</w:t>
      </w:r>
      <w:r w:rsidR="00881F56" w:rsidRPr="00314C5F">
        <w:t xml:space="preserve"> будет реализовано</w:t>
      </w:r>
      <w:r w:rsidRPr="00314C5F">
        <w:t xml:space="preserve"> за счет</w:t>
      </w:r>
      <w:r w:rsidR="00F20489" w:rsidRPr="00314C5F">
        <w:t>:</w:t>
      </w:r>
      <w:r w:rsidRPr="00314C5F">
        <w:t xml:space="preserve"> </w:t>
      </w:r>
    </w:p>
    <w:p w14:paraId="63857247" w14:textId="430A16C9" w:rsidR="002A2F37" w:rsidRPr="00314C5F" w:rsidRDefault="002A2F37" w:rsidP="00952A09">
      <w:pPr>
        <w:pStyle w:val="a0"/>
        <w:numPr>
          <w:ilvl w:val="0"/>
          <w:numId w:val="85"/>
        </w:numPr>
      </w:pPr>
      <w:r w:rsidRPr="00314C5F">
        <w:t>содействие расширению поисковых, геологоразведочных и других работ по освоению трудноизвлекаемых запасов;</w:t>
      </w:r>
    </w:p>
    <w:p w14:paraId="424F8594" w14:textId="4F4096DF" w:rsidR="00886AF6" w:rsidRPr="00314C5F" w:rsidRDefault="00790B8B" w:rsidP="00952A09">
      <w:pPr>
        <w:pStyle w:val="a0"/>
        <w:numPr>
          <w:ilvl w:val="0"/>
          <w:numId w:val="85"/>
        </w:numPr>
      </w:pPr>
      <w:r w:rsidRPr="00314C5F">
        <w:t>привлечения передовых технологий сбора и добычи нефти в сложных геологических условиях</w:t>
      </w:r>
      <w:r w:rsidR="00EF231E" w:rsidRPr="00314C5F">
        <w:t>;</w:t>
      </w:r>
    </w:p>
    <w:p w14:paraId="7771F8F8" w14:textId="3751D9A3" w:rsidR="00AF386F" w:rsidRPr="00314C5F" w:rsidRDefault="00AF386F" w:rsidP="00952A09">
      <w:pPr>
        <w:pStyle w:val="a0"/>
        <w:numPr>
          <w:ilvl w:val="0"/>
          <w:numId w:val="85"/>
        </w:numPr>
        <w:rPr>
          <w:rFonts w:eastAsia="Times New Roman"/>
          <w:color w:val="000000"/>
        </w:rPr>
      </w:pPr>
      <w:r w:rsidRPr="00314C5F">
        <w:lastRenderedPageBreak/>
        <w:t>содействие реконструкции объектов производственной инфраструктуры по разведке и промышленному освоению месторождений нефти и газа;</w:t>
      </w:r>
    </w:p>
    <w:p w14:paraId="383259EE" w14:textId="6B4BD6AF" w:rsidR="00886AF6" w:rsidRPr="00314C5F" w:rsidRDefault="00886AF6" w:rsidP="00952A09">
      <w:pPr>
        <w:pStyle w:val="a0"/>
        <w:numPr>
          <w:ilvl w:val="0"/>
          <w:numId w:val="85"/>
        </w:numPr>
        <w:rPr>
          <w:rFonts w:eastAsia="Times New Roman"/>
          <w:color w:val="000000"/>
        </w:rPr>
      </w:pPr>
      <w:r w:rsidRPr="00314C5F">
        <w:t>стимулирование технического перевооружения, инновационного развития предприятий топливно-энергетического комплекса;</w:t>
      </w:r>
    </w:p>
    <w:p w14:paraId="431FE923" w14:textId="1B4E4C74" w:rsidR="00F20489" w:rsidRPr="00314C5F" w:rsidRDefault="00E06176" w:rsidP="00952A09">
      <w:pPr>
        <w:pStyle w:val="a0"/>
        <w:numPr>
          <w:ilvl w:val="0"/>
          <w:numId w:val="85"/>
        </w:numPr>
        <w:rPr>
          <w:shd w:val="clear" w:color="auto" w:fill="FFFFFF"/>
        </w:rPr>
      </w:pPr>
      <w:r>
        <w:rPr>
          <w:shd w:val="clear" w:color="auto" w:fill="FFFFFF"/>
        </w:rPr>
        <w:t>поддержка</w:t>
      </w:r>
      <w:r w:rsidR="00F20489" w:rsidRPr="00314C5F">
        <w:rPr>
          <w:shd w:val="clear" w:color="auto" w:fill="FFFFFF"/>
        </w:rPr>
        <w:t xml:space="preserve"> создания энергосберегающих технологий нового поколения и реализации пилотных энергосберегающих проектов</w:t>
      </w:r>
      <w:r>
        <w:rPr>
          <w:shd w:val="clear" w:color="auto" w:fill="FFFFFF"/>
        </w:rPr>
        <w:t>;</w:t>
      </w:r>
    </w:p>
    <w:p w14:paraId="4294B3AD" w14:textId="77777777" w:rsidR="00F20489" w:rsidRPr="00314C5F" w:rsidRDefault="00F20489" w:rsidP="00952A09">
      <w:pPr>
        <w:pStyle w:val="a0"/>
        <w:numPr>
          <w:ilvl w:val="0"/>
          <w:numId w:val="85"/>
        </w:numPr>
      </w:pPr>
      <w:r w:rsidRPr="00314C5F">
        <w:t>стимулирование развития и использования новых энергетических технологий, создающих продукцию с качественно новыми потребительскими свойствами;</w:t>
      </w:r>
    </w:p>
    <w:p w14:paraId="5DBDB94E" w14:textId="77777777" w:rsidR="00F20489" w:rsidRPr="00314C5F" w:rsidRDefault="00F20489" w:rsidP="00952A09">
      <w:pPr>
        <w:pStyle w:val="a0"/>
        <w:numPr>
          <w:ilvl w:val="0"/>
          <w:numId w:val="85"/>
        </w:numPr>
      </w:pPr>
      <w:r w:rsidRPr="00314C5F">
        <w:t>реализация комплекса информационных и образовательных программ (мероприятий), пропаганда энергосбережения;</w:t>
      </w:r>
    </w:p>
    <w:p w14:paraId="7BE8C3BF" w14:textId="295BE021" w:rsidR="00EF231E" w:rsidRPr="00314C5F" w:rsidRDefault="00EF231E" w:rsidP="00952A09">
      <w:pPr>
        <w:pStyle w:val="a0"/>
        <w:numPr>
          <w:ilvl w:val="0"/>
          <w:numId w:val="85"/>
        </w:numPr>
      </w:pPr>
      <w:r w:rsidRPr="00314C5F">
        <w:t>стимулирование интеграции локальных предприятий нефтедобычи и транспортировки нефти в региональный кластер нефтегазопереработки;</w:t>
      </w:r>
    </w:p>
    <w:p w14:paraId="1F969E35" w14:textId="3A5BB06B" w:rsidR="0084460A" w:rsidRPr="00314C5F" w:rsidRDefault="0084460A" w:rsidP="00952A09">
      <w:pPr>
        <w:pStyle w:val="a0"/>
        <w:numPr>
          <w:ilvl w:val="0"/>
          <w:numId w:val="85"/>
        </w:numPr>
      </w:pPr>
      <w:r w:rsidRPr="00314C5F">
        <w:rPr>
          <w:color w:val="414141"/>
        </w:rPr>
        <w:t>стимулирование у</w:t>
      </w:r>
      <w:r w:rsidRPr="00314C5F">
        <w:t>величения доли отечественного оборудования, товаров и услуг в закупках хозяйствующих субъектов (импортозамещение);</w:t>
      </w:r>
    </w:p>
    <w:p w14:paraId="7F482718" w14:textId="31459382" w:rsidR="009E5605" w:rsidRPr="00314C5F" w:rsidRDefault="007A4C34" w:rsidP="00952A09">
      <w:pPr>
        <w:pStyle w:val="a0"/>
        <w:numPr>
          <w:ilvl w:val="0"/>
          <w:numId w:val="85"/>
        </w:numPr>
      </w:pPr>
      <w:r w:rsidRPr="00314C5F">
        <w:rPr>
          <w:shd w:val="clear" w:color="auto" w:fill="FFFFFF"/>
        </w:rPr>
        <w:t>стимулирование экономической мотивации деятельности малого и среднего бизнеса в энергетическом секторе с учетом отраслевой специфики и инновационного производства (разработка низкодебитных скважин)</w:t>
      </w:r>
      <w:r w:rsidR="009E5605" w:rsidRPr="00314C5F">
        <w:rPr>
          <w:shd w:val="clear" w:color="auto" w:fill="FFFFFF"/>
        </w:rPr>
        <w:t xml:space="preserve">, </w:t>
      </w:r>
      <w:r w:rsidR="009E5605" w:rsidRPr="00314C5F">
        <w:t>в том числе в интересах активизации научно-технической и иннова</w:t>
      </w:r>
      <w:r w:rsidR="00D53205" w:rsidRPr="00314C5F">
        <w:t>ционной деятельности в отрасли</w:t>
      </w:r>
      <w:r w:rsidR="009E5605" w:rsidRPr="00314C5F">
        <w:t>;</w:t>
      </w:r>
    </w:p>
    <w:p w14:paraId="26D9E1AC" w14:textId="06A88F07" w:rsidR="00D53205" w:rsidRPr="00314C5F" w:rsidRDefault="00D53205" w:rsidP="00952A09">
      <w:pPr>
        <w:pStyle w:val="a0"/>
        <w:numPr>
          <w:ilvl w:val="0"/>
          <w:numId w:val="85"/>
        </w:numPr>
      </w:pPr>
      <w:r w:rsidRPr="00314C5F">
        <w:t xml:space="preserve">обеспечение условий для устойчивого, эффективного и экологически безопасного воспроизводства минерально-сырьевой базы, прироста балансовых запасов основных видов топлива по отношению к </w:t>
      </w:r>
      <w:r w:rsidR="007236D6" w:rsidRPr="00314C5F">
        <w:t>среднегодовым объемам их добычи;</w:t>
      </w:r>
    </w:p>
    <w:p w14:paraId="56F3024D" w14:textId="412BB2EA" w:rsidR="007A4C34" w:rsidRPr="00314C5F" w:rsidRDefault="007236D6" w:rsidP="00952A09">
      <w:pPr>
        <w:pStyle w:val="a0"/>
        <w:numPr>
          <w:ilvl w:val="0"/>
          <w:numId w:val="85"/>
        </w:numPr>
      </w:pPr>
      <w:r w:rsidRPr="00314C5F">
        <w:t>стимулирование сокращения образования</w:t>
      </w:r>
      <w:r w:rsidR="003D7630" w:rsidRPr="00314C5F">
        <w:t xml:space="preserve"> новых и утилизации накопленных отходов производства </w:t>
      </w:r>
      <w:r w:rsidRPr="00314C5F">
        <w:t>и обеспечение безопасного обращения с ними, проведения рекультивации земель и других технических и организационных мероприятий по компенсации ущерба, наносимого природной</w:t>
      </w:r>
      <w:r w:rsidR="003D7630" w:rsidRPr="00314C5F">
        <w:t xml:space="preserve"> среде;</w:t>
      </w:r>
    </w:p>
    <w:p w14:paraId="456D2AE1" w14:textId="0812DBF9" w:rsidR="00886AF6" w:rsidRPr="00314C5F" w:rsidRDefault="00886AF6" w:rsidP="00952A09">
      <w:pPr>
        <w:pStyle w:val="a0"/>
        <w:numPr>
          <w:ilvl w:val="0"/>
          <w:numId w:val="85"/>
        </w:numPr>
      </w:pPr>
      <w:r w:rsidRPr="00314C5F">
        <w:t>стимулирование повышения квалификации работников топливно-энергетического комплекса всех уровней;</w:t>
      </w:r>
    </w:p>
    <w:p w14:paraId="0D6D026F" w14:textId="14411684" w:rsidR="001244D4" w:rsidRPr="00314C5F" w:rsidRDefault="00B8565E" w:rsidP="00952A09">
      <w:pPr>
        <w:pStyle w:val="a0"/>
        <w:numPr>
          <w:ilvl w:val="0"/>
          <w:numId w:val="85"/>
        </w:numPr>
      </w:pPr>
      <w:r w:rsidRPr="00314C5F">
        <w:t>содействие привлечению и закреплению высококвалифицированных кадров в нефтедобывающей отрасли района</w:t>
      </w:r>
      <w:r w:rsidR="003D7630" w:rsidRPr="00314C5F">
        <w:t>.</w:t>
      </w:r>
    </w:p>
    <w:p w14:paraId="20097F6D" w14:textId="77777777" w:rsidR="00314C5F" w:rsidRDefault="00314C5F" w:rsidP="00314C5F"/>
    <w:p w14:paraId="28E9CAFF" w14:textId="77777777" w:rsidR="001244D4" w:rsidRDefault="001244D4" w:rsidP="00314C5F">
      <w:r w:rsidRPr="00314C5F">
        <w:rPr>
          <w:i/>
        </w:rPr>
        <w:t xml:space="preserve">Модернизация транспортно-логистической системы и трубопроводного транспорта </w:t>
      </w:r>
      <w:r>
        <w:t>будет происходить посредством реализации комплекса мероприятий:</w:t>
      </w:r>
    </w:p>
    <w:p w14:paraId="43B56441" w14:textId="7618A36D" w:rsidR="00C85A0F" w:rsidRPr="00D641E3" w:rsidRDefault="00C85A0F" w:rsidP="00952A09">
      <w:pPr>
        <w:pStyle w:val="a0"/>
        <w:numPr>
          <w:ilvl w:val="0"/>
          <w:numId w:val="86"/>
        </w:numPr>
      </w:pPr>
      <w:r w:rsidRPr="00D641E3">
        <w:t>стимулирование дальнейшей интеграции территории района в региональную систему трубопроводного транспорта;</w:t>
      </w:r>
    </w:p>
    <w:p w14:paraId="7DE0E544" w14:textId="17FF7DBD" w:rsidR="00E9620E" w:rsidRPr="00D641E3" w:rsidRDefault="00E9620E" w:rsidP="00952A09">
      <w:pPr>
        <w:pStyle w:val="a0"/>
        <w:numPr>
          <w:ilvl w:val="0"/>
          <w:numId w:val="86"/>
        </w:numPr>
      </w:pPr>
      <w:r w:rsidRPr="00D641E3">
        <w:t xml:space="preserve">реализация проектов по строительству новых и расширению пропускной способности существующих нефтепродуктопроводов; </w:t>
      </w:r>
    </w:p>
    <w:p w14:paraId="3EDCAAA2" w14:textId="4248E302" w:rsidR="00932922" w:rsidRPr="00D641E3" w:rsidRDefault="00932922" w:rsidP="00952A09">
      <w:pPr>
        <w:pStyle w:val="a0"/>
        <w:numPr>
          <w:ilvl w:val="0"/>
          <w:numId w:val="86"/>
        </w:numPr>
      </w:pPr>
      <w:r w:rsidRPr="00D641E3">
        <w:t>обеспеч</w:t>
      </w:r>
      <w:r w:rsidR="008959CC">
        <w:t>ение надежности эксплуатируемой</w:t>
      </w:r>
      <w:r w:rsidRPr="00D641E3">
        <w:t xml:space="preserve"> системы магистральных нефтепроводов и нефтепродуктопроводов на основе результатов диагностики, реконструкции и модернизации основных фондов;</w:t>
      </w:r>
    </w:p>
    <w:p w14:paraId="034F527B" w14:textId="02DB26C8" w:rsidR="001244D4" w:rsidRPr="00D641E3" w:rsidRDefault="00A864E1" w:rsidP="00952A09">
      <w:pPr>
        <w:pStyle w:val="a0"/>
        <w:numPr>
          <w:ilvl w:val="0"/>
          <w:numId w:val="86"/>
        </w:numPr>
      </w:pPr>
      <w:r w:rsidRPr="00D641E3">
        <w:rPr>
          <w:rFonts w:eastAsia="Times New Roman"/>
          <w:color w:val="000000"/>
        </w:rPr>
        <w:t xml:space="preserve">стимулирование </w:t>
      </w:r>
      <w:r w:rsidR="0003281B" w:rsidRPr="00D641E3">
        <w:rPr>
          <w:rFonts w:eastAsia="Times New Roman"/>
          <w:color w:val="000000"/>
        </w:rPr>
        <w:t xml:space="preserve">внедрения </w:t>
      </w:r>
      <w:r w:rsidR="0003281B" w:rsidRPr="00D641E3">
        <w:t>передовых инновационных технологий, программ и технологий повышения энергоэффективности в систему трубопроводного транспорта</w:t>
      </w:r>
      <w:r w:rsidR="009E1DE8" w:rsidRPr="00D641E3">
        <w:t>;</w:t>
      </w:r>
    </w:p>
    <w:p w14:paraId="61772F3C" w14:textId="050AA2F0" w:rsidR="009E1DE8" w:rsidRPr="00D641E3" w:rsidRDefault="009E1DE8" w:rsidP="00952A09">
      <w:pPr>
        <w:pStyle w:val="a0"/>
        <w:numPr>
          <w:ilvl w:val="0"/>
          <w:numId w:val="86"/>
        </w:numPr>
        <w:rPr>
          <w:color w:val="414141"/>
        </w:rPr>
      </w:pPr>
      <w:r w:rsidRPr="00D641E3">
        <w:t>содействие реконструкции и замене нефтепроводов</w:t>
      </w:r>
      <w:r w:rsidR="002D3EE2" w:rsidRPr="00D641E3">
        <w:t xml:space="preserve"> в соответствии с запланированными мероприятиях по обновлению основных фондов </w:t>
      </w:r>
      <w:r w:rsidR="0014445D" w:rsidRPr="00D641E3">
        <w:t>системы транспортировки нефти и попутного нефтяного газа</w:t>
      </w:r>
      <w:r w:rsidRPr="00D641E3">
        <w:t>;</w:t>
      </w:r>
    </w:p>
    <w:p w14:paraId="15FE32B3" w14:textId="0B532A3D" w:rsidR="00920C40" w:rsidRPr="00D641E3" w:rsidRDefault="00920C40" w:rsidP="00952A09">
      <w:pPr>
        <w:pStyle w:val="a0"/>
        <w:numPr>
          <w:ilvl w:val="0"/>
          <w:numId w:val="86"/>
        </w:numPr>
        <w:rPr>
          <w:color w:val="414141"/>
        </w:rPr>
      </w:pPr>
      <w:r w:rsidRPr="00D641E3">
        <w:t>стимулирование внедрения</w:t>
      </w:r>
      <w:r w:rsidR="00E06176" w:rsidRPr="00D641E3">
        <w:t>;</w:t>
      </w:r>
    </w:p>
    <w:p w14:paraId="76EC9D9C" w14:textId="774F03FC" w:rsidR="00383744" w:rsidRPr="00D641E3" w:rsidRDefault="00E06176" w:rsidP="00952A09">
      <w:pPr>
        <w:pStyle w:val="a0"/>
        <w:numPr>
          <w:ilvl w:val="0"/>
          <w:numId w:val="86"/>
        </w:numPr>
        <w:rPr>
          <w:color w:val="414141"/>
        </w:rPr>
      </w:pPr>
      <w:r w:rsidRPr="00D641E3">
        <w:lastRenderedPageBreak/>
        <w:t>с</w:t>
      </w:r>
      <w:r w:rsidR="00524143" w:rsidRPr="00D641E3">
        <w:t>тимулирование</w:t>
      </w:r>
      <w:r w:rsidRPr="00D641E3">
        <w:t xml:space="preserve"> повышения экологической безопасности </w:t>
      </w:r>
      <w:r w:rsidR="00524143" w:rsidRPr="00D641E3">
        <w:t xml:space="preserve">основных фондов системы </w:t>
      </w:r>
      <w:r w:rsidR="00D641E3" w:rsidRPr="00D641E3">
        <w:t>трубопроводного транспорта.</w:t>
      </w:r>
    </w:p>
    <w:p w14:paraId="3010621F" w14:textId="77777777" w:rsidR="00D17553" w:rsidRPr="00D17553" w:rsidRDefault="00D17553" w:rsidP="00A93D7F"/>
    <w:p w14:paraId="344ABEE8" w14:textId="34491113" w:rsidR="004B4418" w:rsidRDefault="007B5185" w:rsidP="00A93D7F">
      <w:pPr>
        <w:pStyle w:val="4"/>
      </w:pPr>
      <w:bookmarkStart w:id="27" w:name="_Toc504055111"/>
      <w:r>
        <w:t>Направление «</w:t>
      </w:r>
      <w:r w:rsidR="004B4418" w:rsidRPr="002F0084">
        <w:t>Диверсификация промышленного производства Нефтеюганского района</w:t>
      </w:r>
      <w:r>
        <w:t>»</w:t>
      </w:r>
      <w:bookmarkEnd w:id="27"/>
    </w:p>
    <w:p w14:paraId="5D7B187F" w14:textId="77777777" w:rsidR="00201BB0" w:rsidRDefault="00201BB0" w:rsidP="00A93D7F"/>
    <w:p w14:paraId="5CF49630" w14:textId="7BB7525B" w:rsidR="002849E0" w:rsidRDefault="002849E0" w:rsidP="00A93D7F">
      <w:pPr>
        <w:rPr>
          <w:lang w:eastAsia="en-US"/>
        </w:rPr>
      </w:pPr>
      <w:r w:rsidRPr="0015354B">
        <w:t>Целью направления «Диверсификация промышленного производства Нефтеюганского района» является</w:t>
      </w:r>
      <w:r w:rsidRPr="0015354B">
        <w:rPr>
          <w:lang w:eastAsia="en-US"/>
        </w:rPr>
        <w:t xml:space="preserve"> </w:t>
      </w:r>
      <w:r w:rsidR="008B7E3F" w:rsidRPr="0015354B">
        <w:rPr>
          <w:lang w:eastAsia="en-US"/>
        </w:rPr>
        <w:t xml:space="preserve">создание новых промышленных производств в ненефтяном секторе и </w:t>
      </w:r>
      <w:r w:rsidR="0015354B" w:rsidRPr="0015354B">
        <w:rPr>
          <w:lang w:eastAsia="en-US"/>
        </w:rPr>
        <w:t>повышение устойчивости экономического развития поселений района</w:t>
      </w:r>
      <w:r w:rsidRPr="0015354B">
        <w:rPr>
          <w:lang w:eastAsia="en-US"/>
        </w:rPr>
        <w:t>.</w:t>
      </w:r>
    </w:p>
    <w:p w14:paraId="50828D55" w14:textId="77777777" w:rsidR="002849E0" w:rsidRDefault="002849E0" w:rsidP="00A93D7F">
      <w:r>
        <w:t xml:space="preserve">Для достижения обозначенной цели будут решены следующие задачи: </w:t>
      </w:r>
    </w:p>
    <w:p w14:paraId="2D816133" w14:textId="7464B302" w:rsidR="00297F8A" w:rsidRDefault="002849E0" w:rsidP="00A93D7F">
      <w:pPr>
        <w:pStyle w:val="a0"/>
        <w:numPr>
          <w:ilvl w:val="0"/>
          <w:numId w:val="76"/>
        </w:numPr>
      </w:pPr>
      <w:r>
        <w:t>стимулирование р</w:t>
      </w:r>
      <w:r w:rsidRPr="00F9099D">
        <w:t>азвития</w:t>
      </w:r>
      <w:r w:rsidR="00201BB0" w:rsidRPr="00F9099D">
        <w:t xml:space="preserve"> </w:t>
      </w:r>
      <w:r w:rsidR="00297F8A" w:rsidRPr="00F9099D">
        <w:t>предприятий отраслей</w:t>
      </w:r>
      <w:r w:rsidRPr="00F9099D">
        <w:t xml:space="preserve"> </w:t>
      </w:r>
      <w:r w:rsidR="00201BB0" w:rsidRPr="00F9099D">
        <w:t>машиностроения и металлообработки</w:t>
      </w:r>
      <w:r w:rsidR="00297F8A" w:rsidRPr="00F9099D">
        <w:t>;</w:t>
      </w:r>
    </w:p>
    <w:p w14:paraId="65E35965" w14:textId="77777777" w:rsidR="00297F8A" w:rsidRDefault="00297F8A" w:rsidP="00A93D7F">
      <w:pPr>
        <w:pStyle w:val="a0"/>
        <w:numPr>
          <w:ilvl w:val="0"/>
          <w:numId w:val="76"/>
        </w:numPr>
      </w:pPr>
      <w:r w:rsidRPr="00F9099D">
        <w:t xml:space="preserve">стимулирование развития </w:t>
      </w:r>
      <w:r w:rsidR="00201BB0" w:rsidRPr="00F9099D">
        <w:t xml:space="preserve">лесопромышленного комплекса за счет </w:t>
      </w:r>
      <w:r w:rsidRPr="00F9099D">
        <w:t>создания предприятий, осуществляющих глубокую переработку</w:t>
      </w:r>
      <w:r w:rsidR="00201BB0" w:rsidRPr="00F9099D">
        <w:t xml:space="preserve"> </w:t>
      </w:r>
      <w:r w:rsidRPr="00F9099D">
        <w:t>древесины;</w:t>
      </w:r>
    </w:p>
    <w:p w14:paraId="41B34122" w14:textId="012DDB37" w:rsidR="00201BB0" w:rsidRDefault="00297F8A" w:rsidP="00A93D7F">
      <w:pPr>
        <w:pStyle w:val="a0"/>
        <w:numPr>
          <w:ilvl w:val="0"/>
          <w:numId w:val="76"/>
        </w:numPr>
      </w:pPr>
      <w:r>
        <w:t xml:space="preserve">стимулирование </w:t>
      </w:r>
      <w:r w:rsidRPr="00F9099D">
        <w:t>создания</w:t>
      </w:r>
      <w:r w:rsidR="00201BB0" w:rsidRPr="00F9099D">
        <w:t xml:space="preserve"> </w:t>
      </w:r>
      <w:r w:rsidR="00F841B2" w:rsidRPr="00F9099D">
        <w:t>предприятий в сфере добычи минеральных ресурсов и производства строительных материалов</w:t>
      </w:r>
      <w:r w:rsidRPr="00F9099D">
        <w:t>, использующих минерально-сырьевую базу района.</w:t>
      </w:r>
    </w:p>
    <w:p w14:paraId="77C329D0" w14:textId="77777777" w:rsidR="008C5030" w:rsidRDefault="008C5030" w:rsidP="00A93D7F"/>
    <w:p w14:paraId="3DB4AE2E" w14:textId="77777777" w:rsidR="00FB1570" w:rsidRDefault="00FB1570" w:rsidP="00A93D7F">
      <w:r w:rsidRPr="00B47F48">
        <w:rPr>
          <w:i/>
        </w:rPr>
        <w:t>Стимулирование развития предприятий отраслей машиностроения и металлообработки</w:t>
      </w:r>
      <w:r>
        <w:t xml:space="preserve"> будет происходить посредством реализации комплекса мероприятий:</w:t>
      </w:r>
    </w:p>
    <w:p w14:paraId="311682F0" w14:textId="0D053B05" w:rsidR="00DD56D7" w:rsidRPr="00DD56D7" w:rsidRDefault="00DD56D7" w:rsidP="00A93D7F">
      <w:pPr>
        <w:pStyle w:val="a0"/>
        <w:numPr>
          <w:ilvl w:val="0"/>
          <w:numId w:val="79"/>
        </w:numPr>
        <w:rPr>
          <w:lang w:eastAsia="en-US"/>
        </w:rPr>
      </w:pPr>
      <w:r w:rsidRPr="00DD56D7">
        <w:rPr>
          <w:lang w:eastAsia="en-US"/>
        </w:rPr>
        <w:t>содействие развитию энергетического машиностроения (в части производства нефтепромыслового, бурового и геологоразведочного оборудования);</w:t>
      </w:r>
    </w:p>
    <w:p w14:paraId="24D4C9DA" w14:textId="19E566CF" w:rsidR="00931CF6" w:rsidRPr="00DD56D7" w:rsidRDefault="00931CF6" w:rsidP="00A93D7F">
      <w:pPr>
        <w:pStyle w:val="a0"/>
        <w:numPr>
          <w:ilvl w:val="0"/>
          <w:numId w:val="79"/>
        </w:numPr>
      </w:pPr>
      <w:r w:rsidRPr="00DD56D7">
        <w:t>содействие технологической модернизации производств через поддержку внедрения новых способов организации производственных процессов на основе автоматизации, выработки оптимальных управленческих решений, совершенствования применяемых технологий, а также выявления и устранения ресурсных потерь</w:t>
      </w:r>
      <w:r w:rsidR="005F1ED0" w:rsidRPr="00DD56D7">
        <w:t xml:space="preserve"> производственного процесса;</w:t>
      </w:r>
    </w:p>
    <w:p w14:paraId="2713994C" w14:textId="49DFC083" w:rsidR="00E37A59" w:rsidRPr="00DD56D7" w:rsidRDefault="00E37A59" w:rsidP="00A93D7F">
      <w:pPr>
        <w:pStyle w:val="a0"/>
        <w:numPr>
          <w:ilvl w:val="0"/>
          <w:numId w:val="79"/>
        </w:numPr>
      </w:pPr>
      <w:r w:rsidRPr="00DD56D7">
        <w:t>поддержка проектов предприятий по повышению экологичности, ресурсной и энергетической эффективности производств</w:t>
      </w:r>
      <w:r w:rsidR="00A83B2B" w:rsidRPr="00DD56D7">
        <w:t>;</w:t>
      </w:r>
    </w:p>
    <w:p w14:paraId="14E98ADD" w14:textId="2D9DC71F" w:rsidR="00FB1570" w:rsidRPr="00DD56D7" w:rsidRDefault="00E37A59" w:rsidP="00A93D7F">
      <w:pPr>
        <w:pStyle w:val="a0"/>
        <w:numPr>
          <w:ilvl w:val="0"/>
          <w:numId w:val="79"/>
        </w:numPr>
      </w:pPr>
      <w:r w:rsidRPr="00DD56D7">
        <w:t>поддержка создания brownfield индустриальных парков на территории существующих промышленных предприятий района, которая будет освобождаться в рамках модерниз</w:t>
      </w:r>
      <w:r w:rsidR="00A83B2B" w:rsidRPr="00DD56D7">
        <w:t>ации производства.</w:t>
      </w:r>
    </w:p>
    <w:p w14:paraId="578AFFDD" w14:textId="77777777" w:rsidR="00FB1570" w:rsidRPr="00DD56D7" w:rsidRDefault="00FB1570" w:rsidP="00A93D7F"/>
    <w:p w14:paraId="7125641D" w14:textId="77777777" w:rsidR="00153E06" w:rsidRDefault="008C5030" w:rsidP="00A93D7F">
      <w:r w:rsidRPr="00B47F48">
        <w:rPr>
          <w:i/>
        </w:rPr>
        <w:t>Стимулирование развития лесопромышленного комплекса за счет создания предприятий, осуществляющих глубокую переработку древесины,</w:t>
      </w:r>
      <w:r w:rsidRPr="00BF4327">
        <w:t xml:space="preserve"> </w:t>
      </w:r>
      <w:r>
        <w:t>будет происходить</w:t>
      </w:r>
      <w:r w:rsidR="00414970">
        <w:t xml:space="preserve"> посредством реализации комплекса мероприятий:</w:t>
      </w:r>
    </w:p>
    <w:p w14:paraId="485989C3" w14:textId="06433A20" w:rsidR="008923C0" w:rsidRPr="00DF2263" w:rsidRDefault="00153E06" w:rsidP="00A93D7F">
      <w:pPr>
        <w:pStyle w:val="a0"/>
        <w:numPr>
          <w:ilvl w:val="0"/>
          <w:numId w:val="77"/>
        </w:numPr>
      </w:pPr>
      <w:r w:rsidRPr="00DF2263">
        <w:t>стимулирование создания и развития</w:t>
      </w:r>
      <w:r w:rsidR="008C5030" w:rsidRPr="00DF2263">
        <w:t xml:space="preserve"> </w:t>
      </w:r>
      <w:r w:rsidRPr="00DF2263">
        <w:t>производства</w:t>
      </w:r>
      <w:r w:rsidR="008C5030" w:rsidRPr="00DF2263">
        <w:t xml:space="preserve"> основных видов конкурентоспособной древесной продукции, в первую очередь из цельной древесины (пиломатериалов, фанеры, клееной древесины)</w:t>
      </w:r>
      <w:r w:rsidR="008923C0" w:rsidRPr="00DF2263">
        <w:t>;</w:t>
      </w:r>
    </w:p>
    <w:p w14:paraId="35F800CB" w14:textId="5E76DCFD" w:rsidR="008923C0" w:rsidRPr="00DF2263" w:rsidRDefault="008923C0" w:rsidP="00A93D7F">
      <w:pPr>
        <w:pStyle w:val="a0"/>
        <w:numPr>
          <w:ilvl w:val="0"/>
          <w:numId w:val="77"/>
        </w:numPr>
      </w:pPr>
      <w:r w:rsidRPr="00DF2263">
        <w:t>стимулирование развития и выхода на зарубежные рынки экспортоориентированных предприятий лесной промышленности;</w:t>
      </w:r>
    </w:p>
    <w:p w14:paraId="62C09A7D" w14:textId="3E6868C3" w:rsidR="00DD7C97" w:rsidRPr="00DF2263" w:rsidRDefault="00DD7C97" w:rsidP="00A93D7F">
      <w:pPr>
        <w:pStyle w:val="a0"/>
        <w:numPr>
          <w:ilvl w:val="0"/>
          <w:numId w:val="77"/>
        </w:numPr>
      </w:pPr>
      <w:r w:rsidRPr="00DF2263">
        <w:t>стимулирование производства древесной продукции</w:t>
      </w:r>
      <w:r w:rsidR="008C5030" w:rsidRPr="00DF2263">
        <w:t xml:space="preserve"> первичной обработки</w:t>
      </w:r>
      <w:r w:rsidRPr="00DF2263">
        <w:t>, востребованной в малоэтажном деревянном домостроении;</w:t>
      </w:r>
    </w:p>
    <w:p w14:paraId="642F4DF9" w14:textId="55FDD864" w:rsidR="001B5502" w:rsidRPr="00DF2263" w:rsidRDefault="001B5502" w:rsidP="00A93D7F">
      <w:pPr>
        <w:pStyle w:val="a0"/>
        <w:numPr>
          <w:ilvl w:val="0"/>
          <w:numId w:val="77"/>
        </w:numPr>
      </w:pPr>
      <w:r w:rsidRPr="00DF2263">
        <w:t>содействие развитию производства древесно-композитных материалов и топливных брикетов из низкосортной древесины и отходов лесопиления;</w:t>
      </w:r>
    </w:p>
    <w:p w14:paraId="06635FDB" w14:textId="77777777" w:rsidR="001B5502" w:rsidRPr="00DF2263" w:rsidRDefault="00112A56" w:rsidP="00A93D7F">
      <w:pPr>
        <w:pStyle w:val="a0"/>
        <w:numPr>
          <w:ilvl w:val="0"/>
          <w:numId w:val="77"/>
        </w:numPr>
      </w:pPr>
      <w:r w:rsidRPr="00DF2263">
        <w:t>содействие развитию производства клееной продукция более глубокой степени переработки древесины (клееный брус, клееный брусок, клееный щит)</w:t>
      </w:r>
      <w:r w:rsidR="001B5502" w:rsidRPr="00DF2263">
        <w:t>;</w:t>
      </w:r>
    </w:p>
    <w:p w14:paraId="4CCE70B4" w14:textId="1BE2C322" w:rsidR="00BA5DD4" w:rsidRPr="00DF2263" w:rsidRDefault="001B5502" w:rsidP="00A93D7F">
      <w:pPr>
        <w:pStyle w:val="a0"/>
        <w:numPr>
          <w:ilvl w:val="0"/>
          <w:numId w:val="77"/>
        </w:numPr>
      </w:pPr>
      <w:r w:rsidRPr="00DF2263">
        <w:lastRenderedPageBreak/>
        <w:t>содействие интеграции локальных предприятий лесопромышленного комплекса в лесопромышленный кластер Ханты-Мансийского автономного округа</w:t>
      </w:r>
      <w:r w:rsidR="00A83B2B">
        <w:t>;</w:t>
      </w:r>
    </w:p>
    <w:p w14:paraId="48DA39ED" w14:textId="2715B215" w:rsidR="00DD7C97" w:rsidRPr="00DF2263" w:rsidRDefault="00BA5DD4" w:rsidP="00A93D7F">
      <w:pPr>
        <w:pStyle w:val="a0"/>
        <w:numPr>
          <w:ilvl w:val="0"/>
          <w:numId w:val="77"/>
        </w:numPr>
      </w:pPr>
      <w:r w:rsidRPr="00DF2263">
        <w:t>развитие дорожно-транспортной инфраструктуры лесопользования</w:t>
      </w:r>
      <w:r w:rsidR="00112A56" w:rsidRPr="00DF2263">
        <w:t>.</w:t>
      </w:r>
    </w:p>
    <w:p w14:paraId="7A6E138C" w14:textId="7B23056F" w:rsidR="008C5030" w:rsidRPr="00BF4327" w:rsidRDefault="008C5030" w:rsidP="00A93D7F">
      <w:r>
        <w:t>Лесостроительный комплекс может стать драйвером социально-экономического развития сельских поселений</w:t>
      </w:r>
      <w:r w:rsidR="001A6FA4">
        <w:t xml:space="preserve"> района</w:t>
      </w:r>
      <w:r>
        <w:t xml:space="preserve">, </w:t>
      </w:r>
      <w:r w:rsidR="001A6FA4">
        <w:t xml:space="preserve">на территории которых </w:t>
      </w:r>
      <w:r>
        <w:t>сосредоточены основные запасы древесины</w:t>
      </w:r>
      <w:r w:rsidR="00DF2263">
        <w:t xml:space="preserve"> </w:t>
      </w:r>
      <w:r>
        <w:t xml:space="preserve">муниципального района. При этом основой лесопромышленного комплекса является малый и средний бизнес, также выполняющий социальную функцию в условиях низкой диверсификации рынка труда сельских поселений, расположенных </w:t>
      </w:r>
      <w:r w:rsidR="001A6FA4">
        <w:t>в юго-западной части района</w:t>
      </w:r>
      <w:r>
        <w:t>.</w:t>
      </w:r>
    </w:p>
    <w:p w14:paraId="1150256F" w14:textId="77777777" w:rsidR="00F841B2" w:rsidRDefault="00F841B2" w:rsidP="00A93D7F"/>
    <w:p w14:paraId="2E78AF18" w14:textId="49EA777D" w:rsidR="00F841B2" w:rsidRDefault="00F841B2" w:rsidP="00A93D7F">
      <w:r w:rsidRPr="00B47F48">
        <w:rPr>
          <w:i/>
        </w:rPr>
        <w:t xml:space="preserve">Стимулирование </w:t>
      </w:r>
      <w:r w:rsidRPr="00B47F48">
        <w:rPr>
          <w:rFonts w:eastAsia="Times New Roman"/>
          <w:i/>
          <w:szCs w:val="20"/>
        </w:rPr>
        <w:t>создания предприятий</w:t>
      </w:r>
      <w:r w:rsidRPr="00B47F48">
        <w:rPr>
          <w:i/>
        </w:rPr>
        <w:t xml:space="preserve"> в сфере добычи минеральных ресурсов</w:t>
      </w:r>
      <w:r w:rsidRPr="00B47F48">
        <w:rPr>
          <w:rFonts w:eastAsia="Times New Roman"/>
          <w:i/>
          <w:szCs w:val="20"/>
        </w:rPr>
        <w:t xml:space="preserve"> и производства строительных материалов, использующих минерально-сырьевую базу района</w:t>
      </w:r>
      <w:r>
        <w:t xml:space="preserve"> </w:t>
      </w:r>
      <w:r w:rsidR="00FC6420">
        <w:t>будет реализовано посредством комплекса мероприятий</w:t>
      </w:r>
      <w:r>
        <w:t>:</w:t>
      </w:r>
    </w:p>
    <w:p w14:paraId="04EE33CD" w14:textId="3EE8F79D" w:rsidR="00F841B2" w:rsidRPr="009E41E6" w:rsidRDefault="00F841B2" w:rsidP="00A93D7F">
      <w:pPr>
        <w:pStyle w:val="a0"/>
        <w:numPr>
          <w:ilvl w:val="0"/>
          <w:numId w:val="75"/>
        </w:numPr>
      </w:pPr>
      <w:r>
        <w:t xml:space="preserve">содействие развитию производства </w:t>
      </w:r>
      <w:r w:rsidRPr="009E41E6">
        <w:t>строительных материалов, отвечающих требованиям энерг</w:t>
      </w:r>
      <w:r w:rsidR="008F4E99">
        <w:t>оэффективности и экологичности</w:t>
      </w:r>
      <w:r w:rsidRPr="009E41E6">
        <w:t>, в том числе</w:t>
      </w:r>
      <w:r>
        <w:t xml:space="preserve"> для малоэтажного строительства;</w:t>
      </w:r>
    </w:p>
    <w:p w14:paraId="4145FAE4" w14:textId="528F7BBA" w:rsidR="00F841B2" w:rsidRPr="009E41E6" w:rsidRDefault="00F841B2" w:rsidP="00A93D7F">
      <w:pPr>
        <w:pStyle w:val="a0"/>
        <w:numPr>
          <w:ilvl w:val="0"/>
          <w:numId w:val="75"/>
        </w:numPr>
      </w:pPr>
      <w:r w:rsidRPr="009E41E6">
        <w:t xml:space="preserve">увеличение объемов производства и расширение рынков сбыта произведенной продукции в </w:t>
      </w:r>
      <w:r w:rsidR="00772A79">
        <w:t>соседних районах Ханты-Мансийского автономного округа (г. Нефтеюганск, г. Сургут, г. Ханты-Мансийск)</w:t>
      </w:r>
      <w:r w:rsidRPr="009E41E6">
        <w:t>;</w:t>
      </w:r>
    </w:p>
    <w:p w14:paraId="423B07D7" w14:textId="2037025F" w:rsidR="00F841B2" w:rsidRDefault="008A3871" w:rsidP="00A93D7F">
      <w:pPr>
        <w:pStyle w:val="a0"/>
        <w:numPr>
          <w:ilvl w:val="0"/>
          <w:numId w:val="75"/>
        </w:numPr>
      </w:pPr>
      <w:r>
        <w:t xml:space="preserve">стимулирование </w:t>
      </w:r>
      <w:r w:rsidR="00F841B2" w:rsidRPr="009E41E6">
        <w:t>расширени</w:t>
      </w:r>
      <w:r>
        <w:t>я</w:t>
      </w:r>
      <w:r w:rsidR="00F841B2" w:rsidRPr="009E41E6">
        <w:t xml:space="preserve"> спектра производимой продукции</w:t>
      </w:r>
      <w:r w:rsidR="00F841B2">
        <w:t xml:space="preserve"> локальных предприят</w:t>
      </w:r>
      <w:r>
        <w:t>ий – жидких строительных смесей</w:t>
      </w:r>
      <w:r w:rsidR="00F841B2" w:rsidRPr="009E41E6">
        <w:t xml:space="preserve">; </w:t>
      </w:r>
    </w:p>
    <w:p w14:paraId="780A080D" w14:textId="77777777" w:rsidR="00F841B2" w:rsidRPr="00F06A39" w:rsidRDefault="00F841B2" w:rsidP="00A93D7F">
      <w:pPr>
        <w:pStyle w:val="a0"/>
        <w:numPr>
          <w:ilvl w:val="0"/>
          <w:numId w:val="75"/>
        </w:numPr>
        <w:rPr>
          <w:szCs w:val="28"/>
        </w:rPr>
      </w:pPr>
      <w:r w:rsidRPr="00E03C7F">
        <w:t xml:space="preserve">содействие выстраиванию </w:t>
      </w:r>
      <w:r>
        <w:t xml:space="preserve">и локализации </w:t>
      </w:r>
      <w:r w:rsidRPr="00E03C7F">
        <w:t>цепочек добавленной стоимости в сфере добычи минеральных ресурсов и производства строительных материалов</w:t>
      </w:r>
      <w:r>
        <w:t>;</w:t>
      </w:r>
    </w:p>
    <w:p w14:paraId="6530128E" w14:textId="67F8092B" w:rsidR="00F06A39" w:rsidRPr="00BC3854" w:rsidRDefault="00F06A39" w:rsidP="00A93D7F">
      <w:pPr>
        <w:pStyle w:val="a0"/>
        <w:numPr>
          <w:ilvl w:val="0"/>
          <w:numId w:val="75"/>
        </w:numPr>
        <w:rPr>
          <w:szCs w:val="28"/>
        </w:rPr>
      </w:pPr>
      <w:r>
        <w:t>повышение инновационной активности предприятий по производству строительных материалов, в том числе с использованием вторичных источников сырья;</w:t>
      </w:r>
    </w:p>
    <w:p w14:paraId="2B024EE2" w14:textId="77777777" w:rsidR="00F06A39" w:rsidRPr="00F06A39" w:rsidRDefault="004A306B" w:rsidP="00A93D7F">
      <w:pPr>
        <w:pStyle w:val="a0"/>
        <w:numPr>
          <w:ilvl w:val="0"/>
          <w:numId w:val="75"/>
        </w:numPr>
        <w:rPr>
          <w:szCs w:val="28"/>
        </w:rPr>
      </w:pPr>
      <w:r>
        <w:t>стимулирование использования локально произведенных строительных материалов в жилищном строительстве на территории района, а также в дорожном строительстве и жилищно-коммунальной сфере</w:t>
      </w:r>
      <w:r w:rsidR="00F06A39">
        <w:t>;</w:t>
      </w:r>
    </w:p>
    <w:p w14:paraId="33E3C259" w14:textId="1B20FD2A" w:rsidR="00F841B2" w:rsidRPr="00F24FB9" w:rsidRDefault="00F06A39" w:rsidP="00A93D7F">
      <w:pPr>
        <w:pStyle w:val="a0"/>
        <w:numPr>
          <w:ilvl w:val="0"/>
          <w:numId w:val="75"/>
        </w:numPr>
        <w:rPr>
          <w:szCs w:val="28"/>
        </w:rPr>
      </w:pPr>
      <w:r>
        <w:t>обеспечение воспроизводства региональной минерально-сырьевой базы для обеспечения требуемых объемов производства основных видов строительных материалов с учетом рационального размещения новых предприятий на территории</w:t>
      </w:r>
      <w:r w:rsidR="00A52C64">
        <w:t>.</w:t>
      </w:r>
    </w:p>
    <w:p w14:paraId="79FA9DB0" w14:textId="0A402F73" w:rsidR="00F841B2" w:rsidRDefault="00B01B59" w:rsidP="00A93D7F">
      <w:r>
        <w:t>Д</w:t>
      </w:r>
      <w:r w:rsidR="00F841B2">
        <w:t>ля отрасли производства строительных материалов существуют перспективы как интенсивного (увеличение производительности труда), так и экстенсивного (</w:t>
      </w:r>
      <w:r w:rsidR="00F841B2" w:rsidRPr="0028120F">
        <w:t>расширение рынков сбыта) развития.</w:t>
      </w:r>
      <w:r w:rsidR="00F841B2">
        <w:t xml:space="preserve"> Положительное влияние на развитие предприятий отрасли добычи и переработки минерально-сырьевых ресурсов в средне- и долгосрочной перспективе также будет оказывать реализация инвестиционных проектов в смежных отраслях обрабатывающей промышленности</w:t>
      </w:r>
      <w:r w:rsidR="003D62AB">
        <w:t>, строительном секторе</w:t>
      </w:r>
      <w:r w:rsidR="00F841B2">
        <w:t xml:space="preserve"> и сельском хозяйстве. </w:t>
      </w:r>
    </w:p>
    <w:p w14:paraId="1E80519D" w14:textId="67B2565E" w:rsidR="00F841B2" w:rsidRPr="00AA26A8" w:rsidRDefault="00F841B2" w:rsidP="00A93D7F">
      <w:pPr>
        <w:rPr>
          <w:color w:val="000000"/>
        </w:rPr>
      </w:pPr>
      <w:r w:rsidRPr="00AA26A8">
        <w:rPr>
          <w:shd w:val="clear" w:color="auto" w:fill="FFFFFF"/>
        </w:rPr>
        <w:t>Создание новых производств требует содействия в области предпроектной подготовки инвестиционной инфраструктуры (промышленных площадок), а также выделения находящихся в муниципальной собственности земельных участков в аренду субъ</w:t>
      </w:r>
      <w:r w:rsidR="0015354B">
        <w:rPr>
          <w:shd w:val="clear" w:color="auto" w:fill="FFFFFF"/>
        </w:rPr>
        <w:t>с</w:t>
      </w:r>
      <w:r w:rsidRPr="00AA26A8">
        <w:rPr>
          <w:shd w:val="clear" w:color="auto" w:fill="FFFFFF"/>
        </w:rPr>
        <w:t xml:space="preserve">ектам малого и среднего предпринимательства. Таким образом, </w:t>
      </w:r>
      <w:r w:rsidRPr="00AA26A8">
        <w:t>основной задачей органов местного самоуправления является привлечение прямых инвесторов к реализации новых отраслевых и стратегических проектов и содействие в их реализации.</w:t>
      </w:r>
    </w:p>
    <w:p w14:paraId="7F91108E" w14:textId="77777777" w:rsidR="00D17553" w:rsidRPr="00D17553" w:rsidRDefault="00D17553" w:rsidP="00A93D7F"/>
    <w:p w14:paraId="54A35F52" w14:textId="6B1E1AD9" w:rsidR="004B4418" w:rsidRDefault="007B5185" w:rsidP="00A93D7F">
      <w:pPr>
        <w:pStyle w:val="4"/>
      </w:pPr>
      <w:bookmarkStart w:id="28" w:name="_Toc504055112"/>
      <w:r>
        <w:t>Направление «</w:t>
      </w:r>
      <w:r w:rsidR="004B4418" w:rsidRPr="002F0084">
        <w:t xml:space="preserve">Развитие агропромышленного </w:t>
      </w:r>
      <w:r w:rsidR="00FB5DC2">
        <w:t>комплекса</w:t>
      </w:r>
      <w:r>
        <w:t>»</w:t>
      </w:r>
      <w:bookmarkEnd w:id="28"/>
    </w:p>
    <w:p w14:paraId="5EDC871B" w14:textId="77777777" w:rsidR="003117BB" w:rsidRDefault="003117BB" w:rsidP="00A93D7F"/>
    <w:p w14:paraId="4718C05B" w14:textId="116A20B2" w:rsidR="000B24A2" w:rsidRDefault="000B24A2" w:rsidP="00A93D7F">
      <w:r w:rsidRPr="0015354B">
        <w:lastRenderedPageBreak/>
        <w:t xml:space="preserve">Целью направления «Развитие агропромышленного комплекса» </w:t>
      </w:r>
      <w:r w:rsidR="0015354B" w:rsidRPr="0015354B">
        <w:t>является стимулирование притока инвестиций в сельскохозяйственную отрасль, повышение занятости в сельской местности и достижение продовольственной безопасности по отдельным видам сельскохозяйственной продукции.</w:t>
      </w:r>
      <w:r w:rsidR="0015354B">
        <w:t xml:space="preserve"> </w:t>
      </w:r>
    </w:p>
    <w:p w14:paraId="03D284CB" w14:textId="77777777" w:rsidR="000B24A2" w:rsidRDefault="000B24A2" w:rsidP="00A93D7F">
      <w:r>
        <w:t xml:space="preserve">Для достижения поставленной цели будут решены следующие задачи: </w:t>
      </w:r>
    </w:p>
    <w:p w14:paraId="1FFA72A5" w14:textId="37469F9F" w:rsidR="000B24A2" w:rsidRPr="00735487" w:rsidRDefault="003117BB" w:rsidP="00A93D7F">
      <w:pPr>
        <w:pStyle w:val="a0"/>
        <w:numPr>
          <w:ilvl w:val="0"/>
          <w:numId w:val="80"/>
        </w:numPr>
      </w:pPr>
      <w:r w:rsidRPr="00735487">
        <w:t xml:space="preserve">стимулирование повышения </w:t>
      </w:r>
      <w:r w:rsidR="000C3F28" w:rsidRPr="00735487">
        <w:t xml:space="preserve">объемов производства продукции </w:t>
      </w:r>
      <w:r w:rsidRPr="00735487">
        <w:t>мясного и молочного животноводства,</w:t>
      </w:r>
      <w:r w:rsidR="00C22E28">
        <w:t xml:space="preserve"> </w:t>
      </w:r>
      <w:r w:rsidR="00C22E28" w:rsidRPr="00735487">
        <w:t>продукции растениеводства</w:t>
      </w:r>
      <w:r w:rsidR="00C22E28">
        <w:t xml:space="preserve"> и вылова пищевой рыбы </w:t>
      </w:r>
      <w:r w:rsidR="000C3F28" w:rsidRPr="00735487">
        <w:t>всеми формами сельскохозяйственных предприятий</w:t>
      </w:r>
      <w:r w:rsidRPr="00735487">
        <w:t>;</w:t>
      </w:r>
    </w:p>
    <w:p w14:paraId="16DF23F2" w14:textId="48BBBA89" w:rsidR="00FD1E50" w:rsidRPr="00735487" w:rsidRDefault="000B24A2" w:rsidP="00A93D7F">
      <w:pPr>
        <w:pStyle w:val="a0"/>
        <w:numPr>
          <w:ilvl w:val="0"/>
          <w:numId w:val="80"/>
        </w:numPr>
      </w:pPr>
      <w:r w:rsidRPr="00735487">
        <w:t>стимулирование увеличения</w:t>
      </w:r>
      <w:r w:rsidR="00FD1E50" w:rsidRPr="00735487">
        <w:t xml:space="preserve"> объёмов и глубины переработки основных видов сельскохозяйственной продукции</w:t>
      </w:r>
      <w:r w:rsidRPr="00735487">
        <w:t>.</w:t>
      </w:r>
    </w:p>
    <w:p w14:paraId="1ABAB06C" w14:textId="77777777" w:rsidR="000C3F28" w:rsidRDefault="000C3F28" w:rsidP="00A93D7F"/>
    <w:p w14:paraId="3A4E8AA2" w14:textId="749CFF01" w:rsidR="00735487" w:rsidRDefault="00735487" w:rsidP="00A93D7F">
      <w:r w:rsidRPr="00B47F48">
        <w:rPr>
          <w:i/>
        </w:rPr>
        <w:t xml:space="preserve">Стимулирование повышения объемов </w:t>
      </w:r>
      <w:r w:rsidR="00F30E5B" w:rsidRPr="00B47F48">
        <w:rPr>
          <w:i/>
        </w:rPr>
        <w:t xml:space="preserve">производства продукции мясного и молочного животноводства, продукции растениеводства и вылова пищевой рыбы </w:t>
      </w:r>
      <w:r w:rsidRPr="00B47F48">
        <w:rPr>
          <w:i/>
        </w:rPr>
        <w:t>всеми формами сельскохозяйственных предприятий</w:t>
      </w:r>
      <w:r w:rsidR="00163DAA">
        <w:t xml:space="preserve"> будет реализовано за счет комплекса мероприятий</w:t>
      </w:r>
      <w:r w:rsidR="00C22E28">
        <w:t>:</w:t>
      </w:r>
    </w:p>
    <w:p w14:paraId="4E23AB40" w14:textId="77777777" w:rsidR="00C22E28" w:rsidRDefault="00C22E28" w:rsidP="00A93D7F">
      <w:pPr>
        <w:pStyle w:val="a0"/>
        <w:numPr>
          <w:ilvl w:val="0"/>
          <w:numId w:val="81"/>
        </w:numPr>
      </w:pPr>
      <w:r>
        <w:t>повышение эффективности животноводства на основе технического и технологического совершенствования производства;</w:t>
      </w:r>
    </w:p>
    <w:p w14:paraId="496DA392" w14:textId="77777777" w:rsidR="00C22E28" w:rsidRDefault="00C22E28" w:rsidP="00A93D7F">
      <w:pPr>
        <w:pStyle w:val="a0"/>
        <w:numPr>
          <w:ilvl w:val="0"/>
          <w:numId w:val="81"/>
        </w:numPr>
      </w:pPr>
      <w:r>
        <w:t>повышение продуктивности и воспроизводительных качеств животных и птицы;</w:t>
      </w:r>
    </w:p>
    <w:p w14:paraId="0E28F268" w14:textId="77777777" w:rsidR="00C22E28" w:rsidRDefault="00C22E28" w:rsidP="00A93D7F">
      <w:pPr>
        <w:pStyle w:val="a0"/>
        <w:numPr>
          <w:ilvl w:val="0"/>
          <w:numId w:val="81"/>
        </w:numPr>
      </w:pPr>
      <w:r>
        <w:t>повышение генетического потенциала сельскохозяйственных животных на основе племенной и селекционной работы;</w:t>
      </w:r>
    </w:p>
    <w:p w14:paraId="64BC6517" w14:textId="77777777" w:rsidR="00C22E28" w:rsidRDefault="00C22E28" w:rsidP="00A93D7F">
      <w:pPr>
        <w:pStyle w:val="a0"/>
        <w:numPr>
          <w:ilvl w:val="0"/>
          <w:numId w:val="81"/>
        </w:numPr>
      </w:pPr>
      <w:r>
        <w:t>интенсификация и техническое переоснащением существующих производств, строительство, реконструкция и модернизация крупных животноводческих комплексов;</w:t>
      </w:r>
    </w:p>
    <w:p w14:paraId="2A7F0969" w14:textId="77777777" w:rsidR="00C22E28" w:rsidRDefault="00C22E28" w:rsidP="00A93D7F">
      <w:pPr>
        <w:pStyle w:val="a0"/>
        <w:numPr>
          <w:ilvl w:val="0"/>
          <w:numId w:val="81"/>
        </w:numPr>
      </w:pPr>
      <w:r>
        <w:t>развитие мясного животноводства (мясное скотоводство, мясное овцеводство, табунное коневодство), резервы развития которого находятся в увеличении поголовья скота и укреплении специализированных хозяйств, совершенствовании племенной базы;</w:t>
      </w:r>
    </w:p>
    <w:p w14:paraId="6698C3C1" w14:textId="77777777" w:rsidR="00C22E28" w:rsidRDefault="00C22E28" w:rsidP="00A93D7F">
      <w:pPr>
        <w:pStyle w:val="a0"/>
        <w:numPr>
          <w:ilvl w:val="0"/>
          <w:numId w:val="81"/>
        </w:numPr>
      </w:pPr>
      <w:r>
        <w:t>развитие свиноводства на основе улучшения племенной базы, как в крупных специализированных хозяйствах, так и за счет строительства новых свиноводческих комплексов с использованием современных промышленных технологий, технического переоснащения имеющихся производств;</w:t>
      </w:r>
    </w:p>
    <w:p w14:paraId="0D9AAF50" w14:textId="77777777" w:rsidR="00C22E28" w:rsidRDefault="00C22E28" w:rsidP="00A93D7F">
      <w:pPr>
        <w:pStyle w:val="a0"/>
        <w:numPr>
          <w:ilvl w:val="0"/>
          <w:numId w:val="81"/>
        </w:numPr>
      </w:pPr>
      <w:r>
        <w:t>развитие мясного птицеводства, основанного на строительстве новых птицеводческих комплексов с использованием современных промышленных технологий, технического переоснащения имеющегося производства;</w:t>
      </w:r>
    </w:p>
    <w:p w14:paraId="59F5AE0B" w14:textId="77777777" w:rsidR="00C22E28" w:rsidRDefault="00C22E28" w:rsidP="00A93D7F">
      <w:pPr>
        <w:pStyle w:val="a0"/>
        <w:numPr>
          <w:ilvl w:val="0"/>
          <w:numId w:val="81"/>
        </w:numPr>
      </w:pPr>
      <w: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14:paraId="6FEAF345" w14:textId="053D839D" w:rsidR="00C22E28" w:rsidRDefault="00C22E28" w:rsidP="00A93D7F">
      <w:pPr>
        <w:pStyle w:val="a0"/>
        <w:numPr>
          <w:ilvl w:val="0"/>
          <w:numId w:val="81"/>
        </w:numPr>
      </w:pPr>
      <w:r>
        <w:t>обеспечение потребности животноводства в высокоэффективных кормах, развитие кормовой базы и последовательное увеличении видового и сортового разнообразия кормовых растений, создании сырьевых и зеленых конвейеров, обеспечении животноводства высокоэнергетическими кормами;</w:t>
      </w:r>
    </w:p>
    <w:p w14:paraId="5F5B56F4" w14:textId="069305E9" w:rsidR="00C22E28" w:rsidRDefault="00C22E28" w:rsidP="00A93D7F">
      <w:pPr>
        <w:pStyle w:val="a0"/>
        <w:numPr>
          <w:ilvl w:val="0"/>
          <w:numId w:val="81"/>
        </w:numPr>
      </w:pPr>
      <w:r>
        <w:t>увеличение использования удобрений до обоснованных норм;</w:t>
      </w:r>
    </w:p>
    <w:p w14:paraId="1AAC2E7D" w14:textId="77777777" w:rsidR="00C22E28" w:rsidRPr="00435FF0" w:rsidRDefault="00C22E28" w:rsidP="00A93D7F">
      <w:pPr>
        <w:pStyle w:val="a0"/>
        <w:numPr>
          <w:ilvl w:val="0"/>
          <w:numId w:val="81"/>
        </w:numPr>
      </w:pPr>
      <w:r>
        <w:t>ускоренное развитие овощеводства и садоводства, прежде всего в закрытом грунте;</w:t>
      </w:r>
    </w:p>
    <w:p w14:paraId="34736348" w14:textId="0E9AB6C2" w:rsidR="003C45B7" w:rsidRPr="00435FF0" w:rsidRDefault="00C22E28" w:rsidP="00A93D7F">
      <w:pPr>
        <w:pStyle w:val="a0"/>
        <w:numPr>
          <w:ilvl w:val="0"/>
          <w:numId w:val="81"/>
        </w:numPr>
      </w:pPr>
      <w:r w:rsidRPr="00435FF0">
        <w:t>способствование развитию сборам дикоросов, особенно в удаленных населенных пун</w:t>
      </w:r>
      <w:r w:rsidR="00880371">
        <w:t>ктах с низким уровнем занятости</w:t>
      </w:r>
      <w:r w:rsidR="003C45B7" w:rsidRPr="00435FF0">
        <w:t>;</w:t>
      </w:r>
    </w:p>
    <w:p w14:paraId="070ED137" w14:textId="1361AAD9" w:rsidR="000C3F28" w:rsidRPr="00435FF0" w:rsidRDefault="003C45B7" w:rsidP="00A93D7F">
      <w:pPr>
        <w:pStyle w:val="a0"/>
        <w:numPr>
          <w:ilvl w:val="0"/>
          <w:numId w:val="81"/>
        </w:numPr>
      </w:pPr>
      <w:r w:rsidRPr="00435FF0">
        <w:t>организационное обеспечение доступности финансовых ресурсов для сельскохозяйственных производителей (в том числе бюджетного кредитования);</w:t>
      </w:r>
    </w:p>
    <w:p w14:paraId="24E3FAE9" w14:textId="5AC4B706" w:rsidR="003C45B7" w:rsidRPr="00DE5FC6" w:rsidRDefault="003C45B7" w:rsidP="00A93D7F">
      <w:pPr>
        <w:pStyle w:val="a0"/>
        <w:numPr>
          <w:ilvl w:val="0"/>
          <w:numId w:val="81"/>
        </w:numPr>
      </w:pPr>
      <w:r w:rsidRPr="00435FF0">
        <w:lastRenderedPageBreak/>
        <w:t>содействие реализации продукции сельского хозяйства на территории района и соседних муниципальных образований.</w:t>
      </w:r>
    </w:p>
    <w:p w14:paraId="599E2B86" w14:textId="77777777" w:rsidR="00CA4B4F" w:rsidRDefault="00CA4B4F" w:rsidP="00A93D7F"/>
    <w:p w14:paraId="04CED904" w14:textId="73E2CD97" w:rsidR="00DE5FC6" w:rsidRDefault="00DE5FC6" w:rsidP="008A0C58">
      <w:r w:rsidRPr="008A0C58">
        <w:rPr>
          <w:i/>
        </w:rPr>
        <w:t>Стимулирование увеличения объёмов и глубины переработки основных видов сельскохозяйственной продукции</w:t>
      </w:r>
      <w:r w:rsidR="00CA4B4F" w:rsidRPr="00B47F48">
        <w:t xml:space="preserve"> будет реализовано за счет комплекса мероприятий:</w:t>
      </w:r>
    </w:p>
    <w:p w14:paraId="179C35D1" w14:textId="63C5A27A" w:rsidR="00B47F48" w:rsidRDefault="00B47F48" w:rsidP="00952A09">
      <w:pPr>
        <w:pStyle w:val="a0"/>
        <w:numPr>
          <w:ilvl w:val="0"/>
          <w:numId w:val="87"/>
        </w:numPr>
      </w:pPr>
      <w:r>
        <w:t>содействие созданию предприятий по переработке локально произведенной сельскохозяйственной продукции (мясного и молочного животноводства, птицеводства, рыбной продукции, дикоросов);</w:t>
      </w:r>
    </w:p>
    <w:p w14:paraId="61786B9F" w14:textId="1EFCF856" w:rsidR="00B47F48" w:rsidRDefault="00B47F48" w:rsidP="00952A09">
      <w:pPr>
        <w:pStyle w:val="a0"/>
        <w:numPr>
          <w:ilvl w:val="0"/>
          <w:numId w:val="87"/>
        </w:numPr>
      </w:pPr>
      <w:r>
        <w:t>экономическое стимулирование модернизации основных фондов предприятий по переработке локально произведенной сельскохозяйственной продукции;</w:t>
      </w:r>
    </w:p>
    <w:p w14:paraId="140AF056" w14:textId="3B83B38E" w:rsidR="00B47F48" w:rsidRDefault="00B47F48" w:rsidP="00952A09">
      <w:pPr>
        <w:pStyle w:val="a0"/>
        <w:numPr>
          <w:ilvl w:val="0"/>
          <w:numId w:val="87"/>
        </w:numPr>
      </w:pPr>
      <w:r>
        <w:t>экономическое стимулирование внедрения инновационных и энергосберегающих технологий на предприятиях по переработке локально произведенной сельскохозяйственной продукции;</w:t>
      </w:r>
    </w:p>
    <w:p w14:paraId="6B5874BF" w14:textId="611C73D8" w:rsidR="00B47F48" w:rsidRDefault="00B47F48" w:rsidP="00952A09">
      <w:pPr>
        <w:pStyle w:val="a0"/>
        <w:numPr>
          <w:ilvl w:val="0"/>
          <w:numId w:val="87"/>
        </w:numPr>
      </w:pPr>
      <w:r>
        <w:t>стимулирование развития малых и средних предприятий по переработке локально произведенной сельскохозяйственной продукции, ориентированных на нишевые региональные рынки;</w:t>
      </w:r>
    </w:p>
    <w:p w14:paraId="092391A0" w14:textId="141A5DAA" w:rsidR="00F90955" w:rsidRDefault="00F90955" w:rsidP="00952A09">
      <w:pPr>
        <w:pStyle w:val="a0"/>
        <w:numPr>
          <w:ilvl w:val="0"/>
          <w:numId w:val="87"/>
        </w:numPr>
      </w:pPr>
      <w:r>
        <w:t>инфраструктурное и имущественное содействие предприятиям</w:t>
      </w:r>
      <w:r w:rsidRPr="00517253">
        <w:t xml:space="preserve">, </w:t>
      </w:r>
      <w:r>
        <w:t>планирующим осуществление инвестиций в отрасль производства и переработки локально произведенной сельскохозяйственной продукции (налоговые льготы, имущественная п</w:t>
      </w:r>
      <w:r w:rsidR="008A0C58">
        <w:t>оддержка).</w:t>
      </w:r>
    </w:p>
    <w:p w14:paraId="4D37F55E" w14:textId="77777777" w:rsidR="003117BB" w:rsidRPr="003117BB" w:rsidRDefault="003117BB" w:rsidP="008A0C58">
      <w:pPr>
        <w:ind w:firstLine="0"/>
      </w:pPr>
    </w:p>
    <w:p w14:paraId="7B351ADB" w14:textId="77777777" w:rsidR="00D17553" w:rsidRPr="00D17553" w:rsidRDefault="00D17553" w:rsidP="00A93D7F"/>
    <w:p w14:paraId="21D8750A" w14:textId="1E46B561" w:rsidR="004B4418" w:rsidRDefault="007B5185" w:rsidP="00A93D7F">
      <w:pPr>
        <w:pStyle w:val="4"/>
      </w:pPr>
      <w:bookmarkStart w:id="29" w:name="_Toc504055113"/>
      <w:r>
        <w:t>Направление «</w:t>
      </w:r>
      <w:r w:rsidR="004B4418">
        <w:t>Развитие потребительского рынка и сферы услуг</w:t>
      </w:r>
      <w:r>
        <w:t>»</w:t>
      </w:r>
      <w:bookmarkEnd w:id="29"/>
    </w:p>
    <w:p w14:paraId="7BA5BCE1" w14:textId="77777777" w:rsidR="00201BB0" w:rsidRDefault="00201BB0" w:rsidP="00A93D7F"/>
    <w:p w14:paraId="49470DD0" w14:textId="4CA54BC8" w:rsidR="0004302A" w:rsidRDefault="007B5185" w:rsidP="00360AC8">
      <w:r w:rsidRPr="00360AC8">
        <w:t xml:space="preserve">Целью направления «Развитие потребительского рынка и сферы услуг» </w:t>
      </w:r>
      <w:r w:rsidR="00360AC8" w:rsidRPr="00360AC8">
        <w:t xml:space="preserve">является </w:t>
      </w:r>
      <w:r w:rsidR="00360AC8" w:rsidRPr="00360AC8">
        <w:rPr>
          <w:shd w:val="clear" w:color="auto" w:fill="FFFFFF"/>
        </w:rPr>
        <w:t xml:space="preserve">решение комплекса задач, ориентированных на наиболее полное удовлетворение спроса населения на потребительские товары </w:t>
      </w:r>
      <w:r w:rsidR="00360AC8">
        <w:rPr>
          <w:shd w:val="clear" w:color="auto" w:fill="FFFFFF"/>
        </w:rPr>
        <w:t>и услуги в широком ассортименте</w:t>
      </w:r>
      <w:r w:rsidR="00360AC8" w:rsidRPr="00360AC8">
        <w:rPr>
          <w:shd w:val="clear" w:color="auto" w:fill="FFFFFF"/>
        </w:rPr>
        <w:t xml:space="preserve"> по доступным ценам и в пределах территориальной доступности</w:t>
      </w:r>
      <w:r w:rsidR="00360AC8">
        <w:t>.</w:t>
      </w:r>
    </w:p>
    <w:p w14:paraId="2ECD3CD1" w14:textId="77777777" w:rsidR="00702261" w:rsidRDefault="007B5185" w:rsidP="00A93D7F">
      <w:r>
        <w:t xml:space="preserve">Для достижения поставленной цели будут решены следующие задачи: </w:t>
      </w:r>
    </w:p>
    <w:p w14:paraId="05F7846E" w14:textId="7E0D6A0F" w:rsidR="00702261" w:rsidRDefault="00F677CD" w:rsidP="00A93D7F">
      <w:pPr>
        <w:pStyle w:val="a0"/>
        <w:numPr>
          <w:ilvl w:val="0"/>
          <w:numId w:val="82"/>
        </w:numPr>
      </w:pPr>
      <w:r>
        <w:t xml:space="preserve">содействие развитию предприятий </w:t>
      </w:r>
      <w:r w:rsidR="00201BB0" w:rsidRPr="00DF5EE8">
        <w:t>розничной торговли (супермаркетов, ма</w:t>
      </w:r>
      <w:r>
        <w:t xml:space="preserve">газинов «шаговой доступности») и </w:t>
      </w:r>
      <w:r w:rsidR="00D35369">
        <w:t xml:space="preserve">предприятий в сфере </w:t>
      </w:r>
      <w:r w:rsidR="00201BB0" w:rsidRPr="00DF5EE8">
        <w:t xml:space="preserve">платных </w:t>
      </w:r>
      <w:r w:rsidR="00D35369">
        <w:t xml:space="preserve">бытовых </w:t>
      </w:r>
      <w:r w:rsidR="00201BB0" w:rsidRPr="00DF5EE8">
        <w:t>услуг</w:t>
      </w:r>
      <w:r w:rsidR="00702261">
        <w:t>;</w:t>
      </w:r>
    </w:p>
    <w:p w14:paraId="204C109B" w14:textId="57B3A887" w:rsidR="00201BB0" w:rsidRPr="00CF243C" w:rsidRDefault="00702261" w:rsidP="00A93D7F">
      <w:pPr>
        <w:pStyle w:val="a0"/>
        <w:numPr>
          <w:ilvl w:val="0"/>
          <w:numId w:val="82"/>
        </w:numPr>
      </w:pPr>
      <w:r w:rsidRPr="00DF5EE8">
        <w:t>р</w:t>
      </w:r>
      <w:r w:rsidR="00D96382">
        <w:t xml:space="preserve">азвитие въездного туризма и </w:t>
      </w:r>
      <w:r w:rsidR="00201BB0" w:rsidRPr="00DF5EE8">
        <w:t>индустрии гостеприимства</w:t>
      </w:r>
      <w:r w:rsidRPr="00DF5EE8">
        <w:t>.</w:t>
      </w:r>
    </w:p>
    <w:p w14:paraId="2A840A76" w14:textId="77777777" w:rsidR="00CF243C" w:rsidRDefault="00CF243C" w:rsidP="00A93D7F"/>
    <w:p w14:paraId="129DE70D" w14:textId="259AFA75" w:rsidR="00A54793" w:rsidRPr="00A93D7F" w:rsidRDefault="00CF243C" w:rsidP="00A93D7F">
      <w:r w:rsidRPr="007B2F9D">
        <w:rPr>
          <w:i/>
        </w:rPr>
        <w:t>Содействие развитию предприятий розничной торговли (супермаркетов, магазинов «шаговой доступности») и предприятий в сфере услуг</w:t>
      </w:r>
      <w:r w:rsidRPr="00A93D7F">
        <w:t xml:space="preserve"> будет реализовано за счет комплекса мероприятий:</w:t>
      </w:r>
    </w:p>
    <w:p w14:paraId="2F653437" w14:textId="77777777" w:rsidR="00A44091" w:rsidRDefault="00A44091" w:rsidP="00A93D7F">
      <w:pPr>
        <w:pStyle w:val="a0"/>
        <w:numPr>
          <w:ilvl w:val="0"/>
          <w:numId w:val="83"/>
        </w:numPr>
      </w:pPr>
      <w:r>
        <w:t>развитие малого бизнеса на потребительском рынке, ориентированного на сбыт товаров мелких местных предпринимателей;</w:t>
      </w:r>
    </w:p>
    <w:p w14:paraId="1F16A4F7" w14:textId="31BF2007" w:rsidR="00A44091" w:rsidRDefault="00A44091" w:rsidP="00D22574">
      <w:pPr>
        <w:pStyle w:val="a0"/>
        <w:numPr>
          <w:ilvl w:val="0"/>
          <w:numId w:val="83"/>
        </w:numPr>
      </w:pPr>
      <w:r>
        <w:t>развитие павильонной, стендов</w:t>
      </w:r>
      <w:r w:rsidR="00D22574">
        <w:t>ой и автоматизированной (вендин</w:t>
      </w:r>
      <w:r>
        <w:t>говой) торговли;</w:t>
      </w:r>
    </w:p>
    <w:p w14:paraId="58BEA6B6" w14:textId="77777777" w:rsidR="00A44091" w:rsidRDefault="00A44091" w:rsidP="00A93D7F">
      <w:pPr>
        <w:pStyle w:val="a0"/>
        <w:numPr>
          <w:ilvl w:val="0"/>
          <w:numId w:val="83"/>
        </w:numPr>
      </w:pPr>
      <w:r>
        <w:t>развитие мобильной торговли (торговли с использованием специализированных автомагазинов, автолавок и иных специально оборудованных для осуществления розничной торговли транспортных средств);</w:t>
      </w:r>
    </w:p>
    <w:p w14:paraId="35668422" w14:textId="77777777" w:rsidR="00A44091" w:rsidRDefault="00A44091" w:rsidP="00A93D7F">
      <w:pPr>
        <w:pStyle w:val="a0"/>
        <w:numPr>
          <w:ilvl w:val="0"/>
          <w:numId w:val="83"/>
        </w:numPr>
      </w:pPr>
      <w:r>
        <w:t>упрощение и сокращение сроков процедуры размещения новых торговых объектов для удовлетворения потребностей как населения в услугах и товарах торговли, так и хозяйствующих субъектов, желающих открывать новый торговый бизнес либо расширять существующий;</w:t>
      </w:r>
    </w:p>
    <w:p w14:paraId="6289AAB4" w14:textId="77777777" w:rsidR="00A44091" w:rsidRDefault="00A44091" w:rsidP="00A93D7F">
      <w:pPr>
        <w:pStyle w:val="a0"/>
        <w:numPr>
          <w:ilvl w:val="0"/>
          <w:numId w:val="83"/>
        </w:numPr>
      </w:pPr>
      <w:r>
        <w:lastRenderedPageBreak/>
        <w:t>развитие ярмарочной торговли и максимальное упрощение всех процедур для организации и проведения ярмарок и участия в них;</w:t>
      </w:r>
    </w:p>
    <w:p w14:paraId="7F2C9558" w14:textId="77777777" w:rsidR="00A44091" w:rsidRDefault="00A44091" w:rsidP="00A93D7F">
      <w:pPr>
        <w:pStyle w:val="a0"/>
        <w:numPr>
          <w:ilvl w:val="0"/>
          <w:numId w:val="83"/>
        </w:numPr>
      </w:pPr>
      <w:r>
        <w:t>п</w:t>
      </w:r>
      <w:r w:rsidRPr="00FD6F5B">
        <w:t>оддержка специфических социально-ориентированных торговых форматов</w:t>
      </w:r>
      <w:r>
        <w:t xml:space="preserve"> (реализация свежих скоропортяпшхся продуктов питания, фермерской продукции, печатной продукции, народных и художественных промыслов, изделий ремесленничества, специфических локальных продуктов и изделий);</w:t>
      </w:r>
    </w:p>
    <w:p w14:paraId="45965848" w14:textId="77777777" w:rsidR="00A44091" w:rsidRDefault="00A44091" w:rsidP="00A93D7F">
      <w:pPr>
        <w:pStyle w:val="a0"/>
        <w:numPr>
          <w:ilvl w:val="0"/>
          <w:numId w:val="83"/>
        </w:numPr>
      </w:pPr>
      <w:r>
        <w:t>р</w:t>
      </w:r>
      <w:r w:rsidRPr="006C6BD0">
        <w:t>азвитие современных сетевых торговых форматов</w:t>
      </w:r>
      <w:r>
        <w:t xml:space="preserve"> в конкурентной среде, недопущение монополизации потребительского рынка;</w:t>
      </w:r>
    </w:p>
    <w:p w14:paraId="6751E948" w14:textId="6A12CDF6" w:rsidR="00A44091" w:rsidRDefault="00A44091" w:rsidP="00A93D7F">
      <w:pPr>
        <w:pStyle w:val="a0"/>
        <w:numPr>
          <w:ilvl w:val="0"/>
          <w:numId w:val="83"/>
        </w:numPr>
      </w:pPr>
      <w:r>
        <w:t>повышение привлекательности осуществления торговой деятельности в малочисленных, труднодоступных и отдаленных населенных пунктах;</w:t>
      </w:r>
    </w:p>
    <w:p w14:paraId="63AAAC25" w14:textId="2E692454" w:rsidR="00CF243C" w:rsidRPr="00201BB0" w:rsidRDefault="00A44091" w:rsidP="00A93D7F">
      <w:pPr>
        <w:pStyle w:val="a0"/>
        <w:numPr>
          <w:ilvl w:val="0"/>
          <w:numId w:val="83"/>
        </w:numPr>
      </w:pPr>
      <w:r>
        <w:t>у</w:t>
      </w:r>
      <w:r w:rsidRPr="005E3A74">
        <w:t xml:space="preserve">лучшение имиджа </w:t>
      </w:r>
      <w:r>
        <w:t>предпринимательской деятельности на потребительском рынке и развитие самозанятости в этой сфере</w:t>
      </w:r>
      <w:r w:rsidR="00312604">
        <w:t>.</w:t>
      </w:r>
    </w:p>
    <w:p w14:paraId="2E3E244E" w14:textId="77777777" w:rsidR="00322A9A" w:rsidRDefault="00322A9A" w:rsidP="00A93D7F"/>
    <w:p w14:paraId="00D67D91" w14:textId="3C084BE3" w:rsidR="00312604" w:rsidRDefault="00312604" w:rsidP="00A93D7F">
      <w:r>
        <w:t xml:space="preserve">Содействие </w:t>
      </w:r>
      <w:r w:rsidRPr="00312604">
        <w:rPr>
          <w:rFonts w:eastAsia="Times New Roman"/>
          <w:i/>
          <w:color w:val="000000"/>
          <w:szCs w:val="20"/>
        </w:rPr>
        <w:t>развитию въездного туризма и индустрии гостеприимства</w:t>
      </w:r>
      <w:r>
        <w:t xml:space="preserve"> будет реализовано за счет комплекса мероприятий:</w:t>
      </w:r>
    </w:p>
    <w:p w14:paraId="46838C12" w14:textId="77777777" w:rsidR="00445CBB" w:rsidRDefault="00445CBB" w:rsidP="0004302A">
      <w:pPr>
        <w:pStyle w:val="a0"/>
        <w:numPr>
          <w:ilvl w:val="0"/>
          <w:numId w:val="84"/>
        </w:numPr>
        <w:ind w:left="1418" w:hanging="425"/>
      </w:pPr>
      <w:r>
        <w:t>содействие привлечению инвестиций в туристскую индустрию;</w:t>
      </w:r>
    </w:p>
    <w:p w14:paraId="2F3F36A0" w14:textId="77777777" w:rsidR="00445CBB" w:rsidRDefault="00445CBB" w:rsidP="0004302A">
      <w:pPr>
        <w:pStyle w:val="a0"/>
        <w:numPr>
          <w:ilvl w:val="0"/>
          <w:numId w:val="84"/>
        </w:numPr>
        <w:ind w:left="1418" w:hanging="425"/>
      </w:pPr>
      <w:r>
        <w:t>создание и модернизация объектов туристской индустрии, соответствующих мировому уровню;</w:t>
      </w:r>
    </w:p>
    <w:p w14:paraId="7B24D0C1" w14:textId="77777777" w:rsidR="00445CBB" w:rsidRDefault="00445CBB" w:rsidP="0004302A">
      <w:pPr>
        <w:pStyle w:val="a0"/>
        <w:numPr>
          <w:ilvl w:val="0"/>
          <w:numId w:val="84"/>
        </w:numPr>
        <w:ind w:left="1418" w:hanging="425"/>
      </w:pPr>
      <w:r>
        <w:t>развитие технического и технологического обеспечения туристской отрасли, внедрение инновационных технологий;</w:t>
      </w:r>
    </w:p>
    <w:p w14:paraId="3F51A711" w14:textId="5241ABD7" w:rsidR="00445CBB" w:rsidRDefault="00445CBB" w:rsidP="0004302A">
      <w:pPr>
        <w:pStyle w:val="a0"/>
        <w:numPr>
          <w:ilvl w:val="0"/>
          <w:numId w:val="84"/>
        </w:numPr>
        <w:ind w:left="1418" w:hanging="425"/>
      </w:pPr>
      <w:r>
        <w:t>содействие повышению квалификации персонала и уровня сервиса, соответствующих международным стандартам;</w:t>
      </w:r>
    </w:p>
    <w:p w14:paraId="195DBB05" w14:textId="77777777" w:rsidR="00445CBB" w:rsidRDefault="00445CBB" w:rsidP="0004302A">
      <w:pPr>
        <w:pStyle w:val="a0"/>
        <w:numPr>
          <w:ilvl w:val="0"/>
          <w:numId w:val="84"/>
        </w:numPr>
        <w:ind w:left="1418" w:hanging="425"/>
      </w:pPr>
      <w:r>
        <w:t>развитие технического и технологического обеспечения туристской отрасли;</w:t>
      </w:r>
    </w:p>
    <w:p w14:paraId="42F4E4CB" w14:textId="77777777" w:rsidR="00445CBB" w:rsidRDefault="00445CBB" w:rsidP="0004302A">
      <w:pPr>
        <w:pStyle w:val="a0"/>
        <w:numPr>
          <w:ilvl w:val="0"/>
          <w:numId w:val="84"/>
        </w:numPr>
        <w:ind w:left="1418" w:hanging="425"/>
      </w:pPr>
      <w:r>
        <w:t>развитие экологического туризма на базе сформированных особо охраняемых природных территорий;</w:t>
      </w:r>
    </w:p>
    <w:p w14:paraId="47FA190F" w14:textId="36382674" w:rsidR="00445CBB" w:rsidRDefault="00445CBB" w:rsidP="0004302A">
      <w:pPr>
        <w:pStyle w:val="a0"/>
        <w:numPr>
          <w:ilvl w:val="0"/>
          <w:numId w:val="84"/>
        </w:numPr>
        <w:ind w:left="1418" w:hanging="425"/>
      </w:pPr>
      <w:r>
        <w:t>развитие культурно-познавательного и экскурсионного туризма;</w:t>
      </w:r>
    </w:p>
    <w:p w14:paraId="4FC38E7F" w14:textId="1C3E7C79" w:rsidR="00445CBB" w:rsidRDefault="00445CBB" w:rsidP="0004302A">
      <w:pPr>
        <w:pStyle w:val="a0"/>
        <w:numPr>
          <w:ilvl w:val="0"/>
          <w:numId w:val="84"/>
        </w:numPr>
        <w:ind w:left="1418" w:hanging="425"/>
      </w:pPr>
      <w:r>
        <w:t>развитие событийного туризма, разработка и проведение новых событийных мероприятий;</w:t>
      </w:r>
    </w:p>
    <w:p w14:paraId="25FDBA6A" w14:textId="77777777" w:rsidR="000E7E8F" w:rsidRDefault="000E7E8F" w:rsidP="0004302A">
      <w:pPr>
        <w:pStyle w:val="a0"/>
        <w:numPr>
          <w:ilvl w:val="0"/>
          <w:numId w:val="84"/>
        </w:numPr>
        <w:ind w:left="1418" w:hanging="425"/>
      </w:pPr>
      <w:r>
        <w:t>содействие развитию социального туризма путем субсидирования туристско-экскурсионных поездок для граждан, находящихся в трудной жизненной ситуации, а также части затрат на оборудование коллективных средств размещения и объектов показа необходимой инфраструктурой для приема туристов с ограниченными физическими возможностями;</w:t>
      </w:r>
    </w:p>
    <w:p w14:paraId="2118EAC1" w14:textId="3BAD7D0C" w:rsidR="000E7E8F" w:rsidRDefault="000E7E8F" w:rsidP="0004302A">
      <w:pPr>
        <w:pStyle w:val="a0"/>
        <w:numPr>
          <w:ilvl w:val="0"/>
          <w:numId w:val="84"/>
        </w:numPr>
        <w:ind w:left="1418" w:hanging="425"/>
      </w:pPr>
      <w:r>
        <w:t>развитие механизмов межрайонной кооперации по созданию и популяризации комплексных и тематических туристических маршрутов</w:t>
      </w:r>
      <w:r w:rsidR="004E345B">
        <w:t>, включение достопримечательностей района во внутри- и межрегиональные туристические маршруты</w:t>
      </w:r>
      <w:r>
        <w:t>;</w:t>
      </w:r>
    </w:p>
    <w:p w14:paraId="3BD8F1EB" w14:textId="3108F370" w:rsidR="00CB271E" w:rsidRDefault="00CB271E" w:rsidP="0004302A">
      <w:pPr>
        <w:pStyle w:val="af5"/>
        <w:numPr>
          <w:ilvl w:val="0"/>
          <w:numId w:val="84"/>
        </w:numPr>
        <w:spacing w:before="0" w:after="0"/>
        <w:ind w:left="1418" w:hanging="425"/>
        <w:rPr>
          <w:color w:val="000000" w:themeColor="text1"/>
        </w:rPr>
      </w:pPr>
      <w:r>
        <w:rPr>
          <w:color w:val="000000"/>
        </w:rPr>
        <w:t>развитие</w:t>
      </w:r>
      <w:r w:rsidRPr="00520B99">
        <w:rPr>
          <w:color w:val="000000"/>
        </w:rPr>
        <w:t xml:space="preserve"> сезонного туризма </w:t>
      </w:r>
      <w:r>
        <w:rPr>
          <w:color w:val="000000"/>
        </w:rPr>
        <w:t>посредством создания</w:t>
      </w:r>
      <w:r w:rsidRPr="00520B99">
        <w:rPr>
          <w:color w:val="000000" w:themeColor="text1"/>
        </w:rPr>
        <w:t xml:space="preserve"> инфраструктуры для отдыха спортивно-туристического направления – мотелей и кемпингов</w:t>
      </w:r>
      <w:r w:rsidR="004E345B">
        <w:rPr>
          <w:color w:val="000000" w:themeColor="text1"/>
        </w:rPr>
        <w:t>;</w:t>
      </w:r>
    </w:p>
    <w:p w14:paraId="0F4F9C05" w14:textId="425D0B7B" w:rsidR="00CB271E" w:rsidRDefault="00CB271E" w:rsidP="0004302A">
      <w:pPr>
        <w:pStyle w:val="af5"/>
        <w:numPr>
          <w:ilvl w:val="0"/>
          <w:numId w:val="84"/>
        </w:numPr>
        <w:spacing w:before="0" w:after="0"/>
        <w:ind w:left="1418" w:hanging="425"/>
        <w:rPr>
          <w:color w:val="000000" w:themeColor="text1"/>
        </w:rPr>
      </w:pPr>
      <w:r w:rsidRPr="00520B99">
        <w:rPr>
          <w:color w:val="000000" w:themeColor="text1"/>
        </w:rPr>
        <w:t>развитие сети туристских маршрутов с альтернативными</w:t>
      </w:r>
      <w:r>
        <w:rPr>
          <w:color w:val="000000" w:themeColor="text1"/>
        </w:rPr>
        <w:t xml:space="preserve"> способами передвижения –</w:t>
      </w:r>
      <w:r w:rsidRPr="00520B99">
        <w:rPr>
          <w:color w:val="000000" w:themeColor="text1"/>
        </w:rPr>
        <w:t xml:space="preserve"> пешех</w:t>
      </w:r>
      <w:r>
        <w:rPr>
          <w:color w:val="000000" w:themeColor="text1"/>
        </w:rPr>
        <w:t>одного, велосипедного и</w:t>
      </w:r>
      <w:r w:rsidR="004E345B">
        <w:rPr>
          <w:color w:val="000000" w:themeColor="text1"/>
        </w:rPr>
        <w:t xml:space="preserve"> лыжного;</w:t>
      </w:r>
    </w:p>
    <w:p w14:paraId="061DDABC" w14:textId="52C43E75" w:rsidR="004E345B" w:rsidRDefault="004E345B" w:rsidP="0004302A">
      <w:pPr>
        <w:pStyle w:val="af5"/>
        <w:numPr>
          <w:ilvl w:val="0"/>
          <w:numId w:val="84"/>
        </w:numPr>
        <w:spacing w:before="0" w:after="0"/>
        <w:ind w:left="1418" w:hanging="425"/>
      </w:pPr>
      <w:r>
        <w:t>организация окружных фестивалей и иных мероприятий регионального значения на территории района;</w:t>
      </w:r>
    </w:p>
    <w:p w14:paraId="63627235" w14:textId="6D228600" w:rsidR="004E345B" w:rsidRDefault="004E345B" w:rsidP="0004302A">
      <w:pPr>
        <w:pStyle w:val="af5"/>
        <w:numPr>
          <w:ilvl w:val="0"/>
          <w:numId w:val="84"/>
        </w:numPr>
        <w:spacing w:before="0" w:after="0"/>
        <w:ind w:left="1418" w:hanging="425"/>
      </w:pPr>
      <w:r>
        <w:t>содействие созданию средств коллективного размещения (в т.ч. сезонных кемпингов и сельских гостевых домов)</w:t>
      </w:r>
      <w:r w:rsidR="009B7FE0">
        <w:t>;</w:t>
      </w:r>
    </w:p>
    <w:p w14:paraId="25541BCF" w14:textId="0A147C6D" w:rsidR="00312604" w:rsidRPr="009B7FE0" w:rsidRDefault="009B7FE0" w:rsidP="0004302A">
      <w:pPr>
        <w:pStyle w:val="af5"/>
        <w:numPr>
          <w:ilvl w:val="0"/>
          <w:numId w:val="84"/>
        </w:numPr>
        <w:spacing w:before="0" w:after="0"/>
        <w:ind w:left="1418" w:hanging="425"/>
        <w:rPr>
          <w:color w:val="000000" w:themeColor="text1"/>
        </w:rPr>
      </w:pPr>
      <w:r>
        <w:t>создание придорожной инфраструктуры – автобусных стоянок и пунктов общественного питания.</w:t>
      </w:r>
    </w:p>
    <w:p w14:paraId="4EF618E5" w14:textId="77777777" w:rsidR="009B7FE0" w:rsidRPr="009B7FE0" w:rsidRDefault="009B7FE0" w:rsidP="009B7FE0">
      <w:pPr>
        <w:pStyle w:val="af5"/>
        <w:spacing w:before="0" w:after="0"/>
        <w:ind w:firstLine="0"/>
        <w:rPr>
          <w:color w:val="000000" w:themeColor="text1"/>
        </w:rPr>
      </w:pPr>
    </w:p>
    <w:p w14:paraId="24AFA194" w14:textId="77777777" w:rsidR="00312604" w:rsidRDefault="00312604" w:rsidP="00A93D7F"/>
    <w:p w14:paraId="242EE46A" w14:textId="647E1C81" w:rsidR="008B2CB1" w:rsidRDefault="008B2CB1" w:rsidP="00A93D7F">
      <w:pPr>
        <w:pStyle w:val="3"/>
      </w:pPr>
      <w:bookmarkStart w:id="30" w:name="_Toc504055114"/>
      <w:r>
        <w:lastRenderedPageBreak/>
        <w:t>Приоритет «Сбалансированное пространственное развитие»</w:t>
      </w:r>
      <w:bookmarkEnd w:id="30"/>
    </w:p>
    <w:p w14:paraId="321551F5" w14:textId="77777777" w:rsidR="00257729" w:rsidRPr="00257729" w:rsidRDefault="00257729" w:rsidP="00A93D7F"/>
    <w:p w14:paraId="3AA9CD6D" w14:textId="27D45E15" w:rsidR="00460067" w:rsidRPr="008B2CB1" w:rsidRDefault="008B1EFD" w:rsidP="00A93D7F">
      <w:pPr>
        <w:pStyle w:val="4"/>
      </w:pPr>
      <w:bookmarkStart w:id="31" w:name="_Toc503913875"/>
      <w:bookmarkStart w:id="32" w:name="_Toc504055115"/>
      <w:r w:rsidRPr="008B2CB1">
        <w:t>Направление «</w:t>
      </w:r>
      <w:bookmarkEnd w:id="31"/>
      <w:r w:rsidR="00DD6B46" w:rsidRPr="008B2CB1">
        <w:t>Повышение качества и доступности жилищно-коммунальных услуг</w:t>
      </w:r>
      <w:r w:rsidRPr="008B2CB1">
        <w:t>»</w:t>
      </w:r>
      <w:bookmarkEnd w:id="32"/>
    </w:p>
    <w:p w14:paraId="0C9697D9" w14:textId="77777777" w:rsidR="008F7CAB" w:rsidRDefault="008F7CAB" w:rsidP="00A93D7F"/>
    <w:p w14:paraId="6A2F48C7" w14:textId="74427603" w:rsidR="00341721" w:rsidRDefault="00341721" w:rsidP="00A93D7F">
      <w:pPr>
        <w:rPr>
          <w:shd w:val="clear" w:color="auto" w:fill="FFFFFF"/>
        </w:rPr>
      </w:pPr>
      <w:r>
        <w:t xml:space="preserve">Целями реализации направления социально-экономического развития Нефтеюганского района </w:t>
      </w:r>
      <w:r w:rsidRPr="00DD6B46">
        <w:t>«</w:t>
      </w:r>
      <w:r w:rsidR="00DD6B46" w:rsidRPr="00DD6B46">
        <w:t>Повышение качества и доступности жилищно-коммунальных услуг</w:t>
      </w:r>
      <w:r w:rsidRPr="00DD6B46">
        <w:t xml:space="preserve">» </w:t>
      </w:r>
      <w:r w:rsidRPr="00DD6B46">
        <w:rPr>
          <w:shd w:val="clear" w:color="auto" w:fill="FFFFFF"/>
        </w:rPr>
        <w:t>являются обеспечение условий</w:t>
      </w:r>
      <w:r w:rsidRPr="000F1A10">
        <w:rPr>
          <w:shd w:val="clear" w:color="auto" w:fill="FFFFFF"/>
        </w:rPr>
        <w:t xml:space="preserve"> для повышения доступности жилья для населения с различным уровнем дохода, повышение качества жилищно-коммунальных услуг, комплексная модернизация жилищно-коммунальной инфраструктуры.</w:t>
      </w:r>
    </w:p>
    <w:p w14:paraId="3237D02F" w14:textId="77777777" w:rsidR="00281D21" w:rsidRDefault="00281D21" w:rsidP="00A93D7F"/>
    <w:p w14:paraId="223A5AEA" w14:textId="5703559F" w:rsidR="00281D21" w:rsidRDefault="00320479" w:rsidP="00A93D7F">
      <w:r>
        <w:t xml:space="preserve">Для достижения обозначенной цели будут решены следующие задачи: </w:t>
      </w:r>
    </w:p>
    <w:p w14:paraId="75C4DE78" w14:textId="740E1CDD" w:rsidR="007C6096" w:rsidRPr="0083533E" w:rsidRDefault="007C6096" w:rsidP="00A93D7F">
      <w:pPr>
        <w:pStyle w:val="a0"/>
        <w:numPr>
          <w:ilvl w:val="0"/>
          <w:numId w:val="56"/>
        </w:numPr>
        <w:rPr>
          <w:shd w:val="clear" w:color="auto" w:fill="FFFFFF"/>
        </w:rPr>
      </w:pPr>
      <w:r w:rsidRPr="0083533E">
        <w:rPr>
          <w:shd w:val="clear" w:color="auto" w:fill="FFFFFF"/>
        </w:rPr>
        <w:t xml:space="preserve">комплексная модернизация коммунальной инфраструктуры, </w:t>
      </w:r>
      <w:r w:rsidR="00615C61" w:rsidRPr="0083533E">
        <w:t>обеспечение сбалансированного развития систем коммунальной инфраструктуры с учетом перспективных потребностей;</w:t>
      </w:r>
    </w:p>
    <w:p w14:paraId="3DEB3F06" w14:textId="50EE289D" w:rsidR="003A6A0F" w:rsidRPr="0083533E" w:rsidRDefault="0058034F" w:rsidP="00A93D7F">
      <w:pPr>
        <w:pStyle w:val="a0"/>
        <w:numPr>
          <w:ilvl w:val="0"/>
          <w:numId w:val="56"/>
        </w:numPr>
        <w:rPr>
          <w:shd w:val="clear" w:color="auto" w:fill="FFFFFF"/>
        </w:rPr>
      </w:pPr>
      <w:r>
        <w:rPr>
          <w:shd w:val="clear" w:color="auto" w:fill="FFFFFF"/>
        </w:rPr>
        <w:t>комплексное освоение территории, развитие</w:t>
      </w:r>
      <w:r w:rsidR="003A6A0F" w:rsidRPr="0083533E">
        <w:rPr>
          <w:shd w:val="clear" w:color="auto" w:fill="FFFFFF"/>
        </w:rPr>
        <w:t xml:space="preserve"> жилищного строительства на основе утвержденной градостроительной документации</w:t>
      </w:r>
      <w:r w:rsidR="00FC7197">
        <w:rPr>
          <w:shd w:val="clear" w:color="auto" w:fill="FFFFFF"/>
        </w:rPr>
        <w:t xml:space="preserve"> и </w:t>
      </w:r>
      <w:r w:rsidR="00FC7197">
        <w:t>повышение</w:t>
      </w:r>
      <w:r w:rsidR="00FC7197" w:rsidRPr="00AF754F">
        <w:t xml:space="preserve"> уровня благоустройства </w:t>
      </w:r>
      <w:r w:rsidR="00FC7197">
        <w:t>жилищного фонда</w:t>
      </w:r>
      <w:r w:rsidR="00615C61" w:rsidRPr="0083533E">
        <w:rPr>
          <w:shd w:val="clear" w:color="auto" w:fill="FFFFFF"/>
        </w:rPr>
        <w:t>;</w:t>
      </w:r>
    </w:p>
    <w:p w14:paraId="1E6BE3EF" w14:textId="3F2CC5D8" w:rsidR="003A6A0F" w:rsidRPr="0083533E" w:rsidRDefault="003A6A0F" w:rsidP="00A93D7F">
      <w:pPr>
        <w:pStyle w:val="a0"/>
        <w:numPr>
          <w:ilvl w:val="0"/>
          <w:numId w:val="56"/>
        </w:numPr>
        <w:rPr>
          <w:shd w:val="clear" w:color="auto" w:fill="FFFFFF"/>
        </w:rPr>
      </w:pPr>
      <w:r w:rsidRPr="0083533E">
        <w:rPr>
          <w:shd w:val="clear" w:color="auto" w:fill="FFFFFF"/>
        </w:rPr>
        <w:t>создание условий для повышения квалификации работников жилищно-коммунальной сферы</w:t>
      </w:r>
      <w:r w:rsidR="0083533E" w:rsidRPr="0083533E">
        <w:rPr>
          <w:shd w:val="clear" w:color="auto" w:fill="FFFFFF"/>
        </w:rPr>
        <w:t>.</w:t>
      </w:r>
    </w:p>
    <w:p w14:paraId="7BF990F6" w14:textId="77777777" w:rsidR="007C6096" w:rsidRDefault="007C6096" w:rsidP="00A93D7F"/>
    <w:p w14:paraId="33156B6E" w14:textId="77777777" w:rsidR="00785B88" w:rsidRDefault="00FF3EE2" w:rsidP="00A93D7F">
      <w:r w:rsidRPr="006F31F1">
        <w:t>На решение поставленных задач направлены мероприятия муниципальных программ Нефтеюганского района</w:t>
      </w:r>
      <w:r w:rsidR="007061B0" w:rsidRPr="006F31F1">
        <w:t xml:space="preserve"> «Развитие жилищно-коммунального комплекса и повышение энергетической эффективности в муниципальном образовании Нефтеюганский район на 2017-2020 годы» и «Формирование современной городской среды в муниципальном образовании Нефтеюганский район на 2018-2022 годы».</w:t>
      </w:r>
    </w:p>
    <w:p w14:paraId="6418DA5B" w14:textId="77777777" w:rsidR="008740F6" w:rsidRPr="006F31F1" w:rsidRDefault="008740F6" w:rsidP="00A93D7F"/>
    <w:p w14:paraId="46E4D6E1" w14:textId="77777777" w:rsidR="0011287B" w:rsidRPr="000C18A3" w:rsidRDefault="007621D1" w:rsidP="00A93D7F">
      <w:pPr>
        <w:rPr>
          <w:shd w:val="clear" w:color="auto" w:fill="FFFFFF"/>
        </w:rPr>
      </w:pPr>
      <w:r w:rsidRPr="007B2F9D">
        <w:rPr>
          <w:i/>
        </w:rPr>
        <w:t xml:space="preserve">Решение задачи </w:t>
      </w:r>
      <w:r w:rsidRPr="007B2F9D">
        <w:rPr>
          <w:i/>
          <w:shd w:val="clear" w:color="auto" w:fill="FFFFFF"/>
        </w:rPr>
        <w:t>комплексной модернизации</w:t>
      </w:r>
      <w:r w:rsidR="00F246B1" w:rsidRPr="007B2F9D">
        <w:rPr>
          <w:i/>
          <w:shd w:val="clear" w:color="auto" w:fill="FFFFFF"/>
        </w:rPr>
        <w:t xml:space="preserve"> коммунальной инфраструктуры и обеспечения</w:t>
      </w:r>
      <w:r w:rsidRPr="007B2F9D">
        <w:rPr>
          <w:i/>
          <w:shd w:val="clear" w:color="auto" w:fill="FFFFFF"/>
        </w:rPr>
        <w:t xml:space="preserve"> надежности и эффективности ее функционирования</w:t>
      </w:r>
      <w:r w:rsidR="001A3DB1" w:rsidRPr="000C18A3">
        <w:rPr>
          <w:shd w:val="clear" w:color="auto" w:fill="FFFFFF"/>
        </w:rPr>
        <w:t xml:space="preserve"> будет достигнуто посредством реализации комплекса мероприятий</w:t>
      </w:r>
      <w:r w:rsidR="0011287B" w:rsidRPr="000C18A3">
        <w:rPr>
          <w:shd w:val="clear" w:color="auto" w:fill="FFFFFF"/>
        </w:rPr>
        <w:t>:</w:t>
      </w:r>
      <w:r w:rsidR="006C160E" w:rsidRPr="000C18A3">
        <w:rPr>
          <w:shd w:val="clear" w:color="auto" w:fill="FFFFFF"/>
        </w:rPr>
        <w:t xml:space="preserve"> </w:t>
      </w:r>
    </w:p>
    <w:p w14:paraId="226CEFB6" w14:textId="37581DEE" w:rsidR="0011287B" w:rsidRPr="000C18A3" w:rsidRDefault="0011287B" w:rsidP="00A93D7F">
      <w:pPr>
        <w:pStyle w:val="a0"/>
        <w:numPr>
          <w:ilvl w:val="0"/>
          <w:numId w:val="55"/>
        </w:numPr>
        <w:rPr>
          <w:color w:val="000000" w:themeColor="text1"/>
        </w:rPr>
      </w:pPr>
      <w:r w:rsidRPr="000C18A3">
        <w:t xml:space="preserve">проведение работ по строительству и реконструкции </w:t>
      </w:r>
      <w:r w:rsidR="00AC70E2">
        <w:rPr>
          <w:shd w:val="clear" w:color="auto" w:fill="FFFFFF"/>
        </w:rPr>
        <w:t>инженерных сетей</w:t>
      </w:r>
      <w:r w:rsidRPr="000C18A3">
        <w:rPr>
          <w:shd w:val="clear" w:color="auto" w:fill="FFFFFF"/>
        </w:rPr>
        <w:t xml:space="preserve"> и капитальному ремонту объектов жилищно-коммунальной сферы</w:t>
      </w:r>
      <w:r w:rsidRPr="000C18A3">
        <w:t>, подведению коммуникаций к участкам жилой и производственной застройки:</w:t>
      </w:r>
    </w:p>
    <w:p w14:paraId="4834DF1A" w14:textId="00794D65" w:rsidR="0011287B" w:rsidRPr="000C18A3" w:rsidRDefault="005F1EFE" w:rsidP="006B5A3E">
      <w:pPr>
        <w:pStyle w:val="af1"/>
        <w:numPr>
          <w:ilvl w:val="1"/>
          <w:numId w:val="55"/>
        </w:numPr>
        <w:spacing w:line="240" w:lineRule="auto"/>
        <w:rPr>
          <w:sz w:val="24"/>
          <w:szCs w:val="24"/>
          <w:shd w:val="clear" w:color="auto" w:fill="FFFFFF"/>
        </w:rPr>
      </w:pPr>
      <w:r w:rsidRPr="000C18A3">
        <w:rPr>
          <w:sz w:val="24"/>
          <w:szCs w:val="24"/>
        </w:rPr>
        <w:t xml:space="preserve">проведение работ по строительству и реконструкции </w:t>
      </w:r>
      <w:r w:rsidR="0011287B" w:rsidRPr="000C18A3">
        <w:rPr>
          <w:sz w:val="24"/>
          <w:szCs w:val="24"/>
          <w:shd w:val="clear" w:color="auto" w:fill="FFFFFF"/>
        </w:rPr>
        <w:t>сетей теплоснабжения, строительство и проведение капитального ремонта объектов теплоснабжения (котельных);</w:t>
      </w:r>
    </w:p>
    <w:p w14:paraId="2F5FB4F3" w14:textId="7E6A6742" w:rsidR="0011287B" w:rsidRPr="000C18A3" w:rsidRDefault="005F1EFE" w:rsidP="006B5A3E">
      <w:pPr>
        <w:pStyle w:val="af1"/>
        <w:numPr>
          <w:ilvl w:val="1"/>
          <w:numId w:val="55"/>
        </w:numPr>
        <w:spacing w:line="240" w:lineRule="auto"/>
        <w:rPr>
          <w:sz w:val="24"/>
          <w:szCs w:val="24"/>
          <w:shd w:val="clear" w:color="auto" w:fill="FFFFFF"/>
        </w:rPr>
      </w:pPr>
      <w:r w:rsidRPr="000C18A3">
        <w:rPr>
          <w:sz w:val="24"/>
          <w:szCs w:val="24"/>
        </w:rPr>
        <w:t xml:space="preserve">проведение работ по строительству и реконструкции </w:t>
      </w:r>
      <w:r w:rsidR="0011287B" w:rsidRPr="000C18A3">
        <w:rPr>
          <w:sz w:val="24"/>
          <w:szCs w:val="24"/>
          <w:shd w:val="clear" w:color="auto" w:fill="FFFFFF"/>
        </w:rPr>
        <w:t>систем водоснабжения и водоотведения, проведение капитального ремонта коммунальных объектов водоочистных сооружений, артезианских скважин);</w:t>
      </w:r>
    </w:p>
    <w:p w14:paraId="05AD9337" w14:textId="77777777" w:rsidR="0011287B" w:rsidRPr="000C18A3" w:rsidRDefault="0011287B" w:rsidP="006B5A3E">
      <w:pPr>
        <w:pStyle w:val="af1"/>
        <w:numPr>
          <w:ilvl w:val="1"/>
          <w:numId w:val="55"/>
        </w:numPr>
        <w:spacing w:line="240" w:lineRule="auto"/>
        <w:rPr>
          <w:sz w:val="24"/>
          <w:szCs w:val="24"/>
          <w:shd w:val="clear" w:color="auto" w:fill="FFFFFF"/>
        </w:rPr>
      </w:pPr>
      <w:r w:rsidRPr="000C18A3">
        <w:rPr>
          <w:sz w:val="24"/>
          <w:szCs w:val="24"/>
          <w:shd w:val="clear" w:color="auto" w:fill="FFFFFF"/>
        </w:rPr>
        <w:t>обеспечение согласованного развития электрической сети в соответствии с техническим перевооружением, электрификация сельских населенных пунктов;</w:t>
      </w:r>
    </w:p>
    <w:p w14:paraId="6EF55CA6" w14:textId="567D047D" w:rsidR="0011287B" w:rsidRPr="000C18A3" w:rsidRDefault="0011287B" w:rsidP="006B5A3E">
      <w:pPr>
        <w:pStyle w:val="af1"/>
        <w:numPr>
          <w:ilvl w:val="1"/>
          <w:numId w:val="55"/>
        </w:numPr>
        <w:spacing w:line="240" w:lineRule="auto"/>
        <w:rPr>
          <w:sz w:val="24"/>
          <w:szCs w:val="24"/>
          <w:shd w:val="clear" w:color="auto" w:fill="FFFFFF"/>
        </w:rPr>
      </w:pPr>
      <w:r w:rsidRPr="000C18A3">
        <w:rPr>
          <w:sz w:val="24"/>
          <w:szCs w:val="24"/>
          <w:shd w:val="clear" w:color="auto" w:fill="FFFFFF"/>
        </w:rPr>
        <w:t xml:space="preserve">обеспечение газификации сельских </w:t>
      </w:r>
      <w:r w:rsidR="00B77C3A" w:rsidRPr="000C18A3">
        <w:rPr>
          <w:sz w:val="24"/>
          <w:szCs w:val="24"/>
          <w:shd w:val="clear" w:color="auto" w:fill="FFFFFF"/>
        </w:rPr>
        <w:t>поселений района</w:t>
      </w:r>
      <w:r w:rsidRPr="000C18A3">
        <w:rPr>
          <w:sz w:val="24"/>
          <w:szCs w:val="24"/>
          <w:shd w:val="clear" w:color="auto" w:fill="FFFFFF"/>
        </w:rPr>
        <w:t>;</w:t>
      </w:r>
    </w:p>
    <w:p w14:paraId="788CFC08" w14:textId="155766DF" w:rsidR="005B6C76" w:rsidRPr="000C18A3" w:rsidRDefault="00CB00A0" w:rsidP="00A93D7F">
      <w:pPr>
        <w:pStyle w:val="a0"/>
        <w:numPr>
          <w:ilvl w:val="0"/>
          <w:numId w:val="55"/>
        </w:numPr>
        <w:rPr>
          <w:color w:val="000000" w:themeColor="text1"/>
        </w:rPr>
      </w:pPr>
      <w:r w:rsidRPr="000C18A3">
        <w:t xml:space="preserve">проведение мероприятий, направленных на </w:t>
      </w:r>
      <w:r w:rsidR="005B6C76" w:rsidRPr="000C18A3">
        <w:t>снижение потерь электрической энергии, м</w:t>
      </w:r>
      <w:r w:rsidRPr="000C18A3">
        <w:t>одернизацию</w:t>
      </w:r>
      <w:r w:rsidR="005B6C76" w:rsidRPr="000C18A3">
        <w:t xml:space="preserve"> и повышение энергетической эффективности объектов жилищно-коммунального хозяйства, оснащение общедомовыми приборами учета многоквартирных домов и бюджетных учреждений, развитие рынка прочих энергосервисных услуг;</w:t>
      </w:r>
    </w:p>
    <w:p w14:paraId="36879F80" w14:textId="27AE5E91" w:rsidR="00726DEF" w:rsidRPr="000C18A3" w:rsidRDefault="00726DEF" w:rsidP="00A93D7F">
      <w:pPr>
        <w:pStyle w:val="a0"/>
        <w:numPr>
          <w:ilvl w:val="0"/>
          <w:numId w:val="55"/>
        </w:numPr>
        <w:rPr>
          <w:color w:val="000000" w:themeColor="text1"/>
        </w:rPr>
      </w:pPr>
      <w:r w:rsidRPr="000C18A3">
        <w:lastRenderedPageBreak/>
        <w:t xml:space="preserve">стимулирование модернизации и </w:t>
      </w:r>
      <w:r w:rsidRPr="000C18A3">
        <w:rPr>
          <w:shd w:val="clear" w:color="auto" w:fill="FFFFFF"/>
        </w:rPr>
        <w:t>внедрения инновационных энерго- и ресурсосберегающих технологий в сфере теплоснабжения</w:t>
      </w:r>
      <w:r w:rsidR="004D7E84" w:rsidRPr="000C18A3">
        <w:rPr>
          <w:shd w:val="clear" w:color="auto" w:fill="FFFFFF"/>
        </w:rPr>
        <w:t>;</w:t>
      </w:r>
    </w:p>
    <w:p w14:paraId="6B01307F" w14:textId="5AC1E169" w:rsidR="004D7E84" w:rsidRPr="000C18A3" w:rsidRDefault="004D7E84" w:rsidP="00A93D7F">
      <w:pPr>
        <w:pStyle w:val="a0"/>
        <w:numPr>
          <w:ilvl w:val="0"/>
          <w:numId w:val="55"/>
        </w:numPr>
        <w:rPr>
          <w:color w:val="000000" w:themeColor="text1"/>
        </w:rPr>
      </w:pPr>
      <w:r w:rsidRPr="000C18A3">
        <w:rPr>
          <w:shd w:val="clear" w:color="auto" w:fill="FFFFFF"/>
        </w:rPr>
        <w:t>стимулирование частных инвестиций в жилищно-коммунальной сфере (передача имущества по концессионным соглашениям, иные механизмы муниципально-частного партнерства в ЖКХ).</w:t>
      </w:r>
    </w:p>
    <w:p w14:paraId="1A469FCB" w14:textId="77777777" w:rsidR="0011287B" w:rsidRDefault="0011287B" w:rsidP="00A93D7F">
      <w:pPr>
        <w:rPr>
          <w:shd w:val="clear" w:color="auto" w:fill="FFFFFF"/>
        </w:rPr>
      </w:pPr>
    </w:p>
    <w:p w14:paraId="4F97B0EC" w14:textId="3569928F" w:rsidR="0058034F" w:rsidRDefault="0058034F" w:rsidP="00A93D7F">
      <w:pPr>
        <w:rPr>
          <w:shd w:val="clear" w:color="auto" w:fill="FFFFFF"/>
        </w:rPr>
      </w:pPr>
      <w:r w:rsidRPr="007B2F9D">
        <w:rPr>
          <w:i/>
          <w:shd w:val="clear" w:color="auto" w:fill="FFFFFF"/>
        </w:rPr>
        <w:t>Содействие комплексному освоению территории и развитию жилищного строительства</w:t>
      </w:r>
      <w:r w:rsidR="00914F55">
        <w:rPr>
          <w:shd w:val="clear" w:color="auto" w:fill="FFFFFF"/>
        </w:rPr>
        <w:t xml:space="preserve"> будет реализовано посредством комплекса мероприятий:</w:t>
      </w:r>
    </w:p>
    <w:p w14:paraId="7E58774E" w14:textId="62F773EF" w:rsidR="00FC7197" w:rsidRPr="008B0D2B" w:rsidRDefault="00914F55" w:rsidP="00A93D7F">
      <w:pPr>
        <w:pStyle w:val="a0"/>
        <w:numPr>
          <w:ilvl w:val="0"/>
          <w:numId w:val="57"/>
        </w:numPr>
      </w:pPr>
      <w:r>
        <w:rPr>
          <w:shd w:val="clear" w:color="auto" w:fill="FFFFFF"/>
        </w:rPr>
        <w:t>содействие развитию жилищного строительства в городском и сельских поселениях</w:t>
      </w:r>
      <w:r>
        <w:t>, формирование</w:t>
      </w:r>
      <w:r w:rsidR="00FC7197" w:rsidRPr="00AB4329">
        <w:t xml:space="preserve"> рынка доступного жилья</w:t>
      </w:r>
      <w:r>
        <w:t xml:space="preserve"> </w:t>
      </w:r>
      <w:r w:rsidR="00FC7197" w:rsidRPr="00AB4329">
        <w:t>путем увеличения объемов жилищного строительства</w:t>
      </w:r>
      <w:r w:rsidR="00FC7197">
        <w:t>;</w:t>
      </w:r>
    </w:p>
    <w:p w14:paraId="22E5F8A7" w14:textId="40C19045" w:rsidR="00FC7197" w:rsidRPr="008B0D2B" w:rsidRDefault="00914F55" w:rsidP="00A93D7F">
      <w:pPr>
        <w:pStyle w:val="a0"/>
        <w:numPr>
          <w:ilvl w:val="0"/>
          <w:numId w:val="57"/>
        </w:numPr>
      </w:pPr>
      <w:r>
        <w:rPr>
          <w:shd w:val="clear" w:color="auto" w:fill="FFFFFF"/>
        </w:rPr>
        <w:t xml:space="preserve">стимулирование </w:t>
      </w:r>
      <w:r w:rsidR="00FC7197">
        <w:rPr>
          <w:shd w:val="clear" w:color="auto" w:fill="FFFFFF"/>
        </w:rPr>
        <w:t>в</w:t>
      </w:r>
      <w:r w:rsidR="00FC7197" w:rsidRPr="00105963">
        <w:rPr>
          <w:shd w:val="clear" w:color="auto" w:fill="FFFFFF"/>
        </w:rPr>
        <w:t>недрени</w:t>
      </w:r>
      <w:r>
        <w:rPr>
          <w:shd w:val="clear" w:color="auto" w:fill="FFFFFF"/>
        </w:rPr>
        <w:t>я</w:t>
      </w:r>
      <w:r w:rsidR="00FC7197">
        <w:rPr>
          <w:shd w:val="clear" w:color="auto" w:fill="FFFFFF"/>
        </w:rPr>
        <w:t xml:space="preserve"> </w:t>
      </w:r>
      <w:r>
        <w:rPr>
          <w:shd w:val="clear" w:color="auto" w:fill="FFFFFF"/>
        </w:rPr>
        <w:t>инновационных энерго</w:t>
      </w:r>
      <w:r w:rsidRPr="00105963">
        <w:rPr>
          <w:shd w:val="clear" w:color="auto" w:fill="FFFFFF"/>
        </w:rPr>
        <w:t>эффективных</w:t>
      </w:r>
      <w:r w:rsidRPr="00AF754F">
        <w:rPr>
          <w:shd w:val="clear" w:color="auto" w:fill="FFFFFF"/>
        </w:rPr>
        <w:t xml:space="preserve"> и ресурсосберегающих технологий</w:t>
      </w:r>
      <w:r w:rsidRPr="00105963">
        <w:rPr>
          <w:shd w:val="clear" w:color="auto" w:fill="FFFFFF"/>
        </w:rPr>
        <w:t xml:space="preserve"> </w:t>
      </w:r>
      <w:r w:rsidR="00FC7197" w:rsidRPr="00105963">
        <w:rPr>
          <w:shd w:val="clear" w:color="auto" w:fill="FFFFFF"/>
        </w:rPr>
        <w:t>и строительных мате</w:t>
      </w:r>
      <w:r w:rsidR="00FC7197">
        <w:rPr>
          <w:shd w:val="clear" w:color="auto" w:fill="FFFFFF"/>
        </w:rPr>
        <w:t>риалов в жилищном строительстве;</w:t>
      </w:r>
    </w:p>
    <w:p w14:paraId="6B80E852" w14:textId="7EB1EDB2" w:rsidR="00FC7197" w:rsidRDefault="00FC7197" w:rsidP="00A93D7F">
      <w:pPr>
        <w:pStyle w:val="a0"/>
        <w:numPr>
          <w:ilvl w:val="0"/>
          <w:numId w:val="57"/>
        </w:numPr>
      </w:pPr>
      <w:r>
        <w:rPr>
          <w:shd w:val="clear" w:color="auto" w:fill="FFFFFF"/>
        </w:rPr>
        <w:t>реализация мероприятий, направленных на</w:t>
      </w:r>
      <w:r w:rsidR="00B14D6B">
        <w:rPr>
          <w:shd w:val="clear" w:color="auto" w:fill="FFFFFF"/>
        </w:rPr>
        <w:t xml:space="preserve"> </w:t>
      </w:r>
      <w:r w:rsidR="00B14D6B">
        <w:t>согласование</w:t>
      </w:r>
      <w:r w:rsidR="00B14D6B" w:rsidRPr="009C50B5">
        <w:t xml:space="preserve"> документов территориального планирования с федеральными и рег</w:t>
      </w:r>
      <w:r w:rsidR="00B14D6B">
        <w:t xml:space="preserve">иональными ведомствами в целях </w:t>
      </w:r>
      <w:r w:rsidR="00B14D6B" w:rsidRPr="009C50B5">
        <w:t>измен</w:t>
      </w:r>
      <w:r w:rsidR="00B14D6B">
        <w:t xml:space="preserve">ения границ населенных пунктов и изменения категории земельных участков, </w:t>
      </w:r>
      <w:r w:rsidR="00B14D6B" w:rsidRPr="009C50B5">
        <w:t xml:space="preserve">необходимых для </w:t>
      </w:r>
      <w:r w:rsidR="00B14D6B">
        <w:t>реализации проектов</w:t>
      </w:r>
      <w:r w:rsidR="00B14D6B" w:rsidRPr="009C50B5">
        <w:t xml:space="preserve"> </w:t>
      </w:r>
      <w:r w:rsidR="00B14D6B">
        <w:t xml:space="preserve">жилищного строительства на территории </w:t>
      </w:r>
      <w:r w:rsidR="00B14D6B" w:rsidRPr="009C50B5">
        <w:t>поселений</w:t>
      </w:r>
      <w:r w:rsidR="00B14D6B">
        <w:t>,</w:t>
      </w:r>
      <w:r w:rsidR="00B14D6B" w:rsidRPr="009C50B5">
        <w:t xml:space="preserve"> отнесённых к лесным участкам земель лесного фонда</w:t>
      </w:r>
      <w:r>
        <w:rPr>
          <w:shd w:val="clear" w:color="auto" w:fill="FFFFFF"/>
        </w:rPr>
        <w:t>;</w:t>
      </w:r>
    </w:p>
    <w:p w14:paraId="4B5D80D5" w14:textId="77777777" w:rsidR="00FC7197" w:rsidRDefault="00FC7197" w:rsidP="006B5A3E">
      <w:pPr>
        <w:pStyle w:val="af1"/>
        <w:numPr>
          <w:ilvl w:val="0"/>
          <w:numId w:val="57"/>
        </w:numPr>
        <w:spacing w:line="240" w:lineRule="auto"/>
        <w:rPr>
          <w:sz w:val="24"/>
          <w:szCs w:val="24"/>
          <w:shd w:val="clear" w:color="auto" w:fill="FFFFFF"/>
        </w:rPr>
      </w:pPr>
      <w:r w:rsidRPr="00105963">
        <w:rPr>
          <w:sz w:val="24"/>
          <w:szCs w:val="24"/>
          <w:shd w:val="clear" w:color="auto" w:fill="FFFFFF"/>
        </w:rPr>
        <w:t>реализаци</w:t>
      </w:r>
      <w:r>
        <w:rPr>
          <w:sz w:val="24"/>
          <w:szCs w:val="24"/>
          <w:shd w:val="clear" w:color="auto" w:fill="FFFFFF"/>
        </w:rPr>
        <w:t>я</w:t>
      </w:r>
      <w:r w:rsidRPr="00105963">
        <w:rPr>
          <w:sz w:val="24"/>
          <w:szCs w:val="24"/>
          <w:shd w:val="clear" w:color="auto" w:fill="FFFFFF"/>
        </w:rPr>
        <w:t xml:space="preserve"> программы по обеспечению жильем отдельных категорий граждан (молодых семей, специалистов на селе, граждан-получателей государственных жилищных сертификатов, инвалидов, детей-сирот, а также семей, имеющих право воспользоваться средствами материнского (семейного) капитала в це</w:t>
      </w:r>
      <w:r>
        <w:rPr>
          <w:sz w:val="24"/>
          <w:szCs w:val="24"/>
          <w:shd w:val="clear" w:color="auto" w:fill="FFFFFF"/>
        </w:rPr>
        <w:t>лях улучшения жилищных условий)</w:t>
      </w:r>
      <w:r w:rsidRPr="007D6FE5">
        <w:rPr>
          <w:sz w:val="24"/>
          <w:szCs w:val="24"/>
          <w:shd w:val="clear" w:color="auto" w:fill="FFFFFF"/>
        </w:rPr>
        <w:t>;</w:t>
      </w:r>
    </w:p>
    <w:p w14:paraId="75D7FDF2" w14:textId="77777777" w:rsidR="00CE7B77" w:rsidRDefault="00FC7197" w:rsidP="00A93D7F">
      <w:pPr>
        <w:pStyle w:val="a0"/>
        <w:numPr>
          <w:ilvl w:val="0"/>
          <w:numId w:val="57"/>
        </w:numPr>
      </w:pPr>
      <w:r>
        <w:t>л</w:t>
      </w:r>
      <w:r w:rsidRPr="00AB4329">
        <w:t>иквидация ветхого и аварийного жилищного фонда</w:t>
      </w:r>
      <w:r>
        <w:t xml:space="preserve"> и реализация программы переселения граждан из ветхого и аварийного жилищного фонда</w:t>
      </w:r>
      <w:r w:rsidR="00CE7B77">
        <w:t>;</w:t>
      </w:r>
    </w:p>
    <w:p w14:paraId="5D244CB6" w14:textId="0B9307E4" w:rsidR="00FC7197" w:rsidRPr="00101E9F" w:rsidRDefault="00CE7B77" w:rsidP="00A93D7F">
      <w:pPr>
        <w:pStyle w:val="a0"/>
        <w:numPr>
          <w:ilvl w:val="0"/>
          <w:numId w:val="57"/>
        </w:numPr>
      </w:pPr>
      <w:r w:rsidRPr="00AF754F">
        <w:t>содействие повышению уровня благоустройства дворовых территорий и мест общего пользования</w:t>
      </w:r>
      <w:r w:rsidR="00FC7197">
        <w:t>.</w:t>
      </w:r>
    </w:p>
    <w:p w14:paraId="549FBA15" w14:textId="26B3A9AA" w:rsidR="00FC7197" w:rsidRDefault="00FC7197" w:rsidP="00A93D7F">
      <w:r w:rsidRPr="00911F9A">
        <w:t xml:space="preserve">Повышению инвестиционной привлекательности промышленных площадок и созданию </w:t>
      </w:r>
      <w:r w:rsidRPr="00911F9A">
        <w:rPr>
          <w:rFonts w:eastAsia="Times New Roman"/>
        </w:rPr>
        <w:t xml:space="preserve">благоприятных инфраструктурных условий для развития </w:t>
      </w:r>
      <w:r>
        <w:rPr>
          <w:rFonts w:eastAsia="Times New Roman"/>
        </w:rPr>
        <w:t>сельскохозяйственной отрасли</w:t>
      </w:r>
      <w:r w:rsidRPr="00911F9A">
        <w:rPr>
          <w:rFonts w:eastAsia="Times New Roman"/>
        </w:rPr>
        <w:t xml:space="preserve"> и </w:t>
      </w:r>
      <w:r>
        <w:rPr>
          <w:rFonts w:eastAsia="Times New Roman"/>
        </w:rPr>
        <w:t>промышленного</w:t>
      </w:r>
      <w:r w:rsidRPr="0061076C">
        <w:rPr>
          <w:rFonts w:eastAsia="Times New Roman"/>
        </w:rPr>
        <w:t xml:space="preserve"> комплекса</w:t>
      </w:r>
      <w:r w:rsidR="00EA7AD2">
        <w:rPr>
          <w:rFonts w:eastAsia="Times New Roman"/>
        </w:rPr>
        <w:t xml:space="preserve"> </w:t>
      </w:r>
      <w:r w:rsidRPr="0061076C">
        <w:t>способствует сопутствующая реализация проектов жилищного строительства и инфраструктурное обустройство прилегающих территорий</w:t>
      </w:r>
      <w:r>
        <w:t xml:space="preserve"> (</w:t>
      </w:r>
      <w:r w:rsidRPr="00091464">
        <w:rPr>
          <w:spacing w:val="2"/>
          <w:shd w:val="clear" w:color="auto" w:fill="FFFFFF"/>
        </w:rPr>
        <w:t>объектами социальной, инженерной инфраструктуры и автомобильными дорогами</w:t>
      </w:r>
      <w:r>
        <w:rPr>
          <w:spacing w:val="2"/>
          <w:shd w:val="clear" w:color="auto" w:fill="FFFFFF"/>
        </w:rPr>
        <w:t>)</w:t>
      </w:r>
      <w:r w:rsidRPr="0061076C">
        <w:t>.</w:t>
      </w:r>
      <w:r w:rsidR="00EA7AD2">
        <w:t xml:space="preserve"> </w:t>
      </w:r>
      <w:r w:rsidR="00EA7AD2">
        <w:rPr>
          <w:rFonts w:eastAsia="Times New Roman"/>
        </w:rPr>
        <w:t>В </w:t>
      </w:r>
      <w:r>
        <w:rPr>
          <w:rFonts w:eastAsia="Times New Roman"/>
        </w:rPr>
        <w:t>этой связи необходимо обеспечить к</w:t>
      </w:r>
      <w:r w:rsidRPr="007D0589">
        <w:rPr>
          <w:rFonts w:eastAsia="Times New Roman"/>
        </w:rPr>
        <w:t>онцентрацию ресурсов, направляемых на</w:t>
      </w:r>
      <w:r>
        <w:rPr>
          <w:rFonts w:eastAsia="Times New Roman"/>
        </w:rPr>
        <w:t xml:space="preserve"> интенсификацию жилищного строительства,</w:t>
      </w:r>
      <w:r w:rsidRPr="007D0589">
        <w:rPr>
          <w:rFonts w:eastAsia="Times New Roman"/>
        </w:rPr>
        <w:t xml:space="preserve"> обустройство объектами социальной и инженерной инфраструктуры</w:t>
      </w:r>
      <w:r>
        <w:rPr>
          <w:rFonts w:eastAsia="Times New Roman"/>
        </w:rPr>
        <w:t xml:space="preserve"> в</w:t>
      </w:r>
      <w:r w:rsidRPr="007D0589">
        <w:rPr>
          <w:rFonts w:eastAsia="Times New Roman"/>
        </w:rPr>
        <w:t xml:space="preserve"> </w:t>
      </w:r>
      <w:r w:rsidR="009858CA">
        <w:rPr>
          <w:rFonts w:eastAsia="Times New Roman"/>
        </w:rPr>
        <w:t>поселениях</w:t>
      </w:r>
      <w:r w:rsidRPr="007D0589">
        <w:rPr>
          <w:rFonts w:eastAsia="Times New Roman"/>
        </w:rPr>
        <w:t xml:space="preserve">, </w:t>
      </w:r>
      <w:r>
        <w:rPr>
          <w:rFonts w:eastAsia="Times New Roman"/>
        </w:rPr>
        <w:t>где</w:t>
      </w:r>
      <w:r w:rsidRPr="007D0589">
        <w:rPr>
          <w:rFonts w:eastAsia="Times New Roman"/>
        </w:rPr>
        <w:t xml:space="preserve"> развивается </w:t>
      </w:r>
      <w:r>
        <w:rPr>
          <w:rFonts w:eastAsia="Times New Roman"/>
        </w:rPr>
        <w:t>сельскохозяйственное</w:t>
      </w:r>
      <w:r w:rsidR="00B84707">
        <w:rPr>
          <w:rFonts w:eastAsia="Times New Roman"/>
        </w:rPr>
        <w:t xml:space="preserve"> </w:t>
      </w:r>
      <w:r>
        <w:rPr>
          <w:rFonts w:eastAsia="Times New Roman"/>
        </w:rPr>
        <w:t xml:space="preserve">и промышленное </w:t>
      </w:r>
      <w:r w:rsidRPr="007D0589">
        <w:rPr>
          <w:rFonts w:eastAsia="Times New Roman"/>
        </w:rPr>
        <w:t xml:space="preserve">производство, реализуются или имеются планы по реализации </w:t>
      </w:r>
      <w:r>
        <w:rPr>
          <w:rFonts w:eastAsia="Times New Roman"/>
        </w:rPr>
        <w:t xml:space="preserve">крупных </w:t>
      </w:r>
      <w:r w:rsidRPr="007D0589">
        <w:rPr>
          <w:rFonts w:eastAsia="Times New Roman"/>
        </w:rPr>
        <w:t>инвестиционных пр</w:t>
      </w:r>
      <w:r>
        <w:rPr>
          <w:rFonts w:eastAsia="Times New Roman"/>
        </w:rPr>
        <w:t>оектов и созданию новых рабочих мест, ведется строительство учреждений социальной сферы.</w:t>
      </w:r>
    </w:p>
    <w:p w14:paraId="35F3F961" w14:textId="77777777" w:rsidR="00B52808" w:rsidRDefault="00FC7197" w:rsidP="00A93D7F">
      <w:pPr>
        <w:rPr>
          <w:shd w:val="clear" w:color="auto" w:fill="FFFFFF"/>
        </w:rPr>
      </w:pPr>
      <w:r w:rsidRPr="0061076C">
        <w:t>Активизация жилищного строительства направлена на удовлетворение потребностей сельского населения, в первую очередь, молодых семей и молодых специалистов,</w:t>
      </w:r>
      <w:r>
        <w:t xml:space="preserve"> а также приезжих специалистов,</w:t>
      </w:r>
      <w:r w:rsidRPr="0061076C">
        <w:t xml:space="preserve"> в благоустроенном жилье</w:t>
      </w:r>
      <w:r>
        <w:t>. В конечном итоге, развитие комплексной жилой застройки</w:t>
      </w:r>
      <w:r w:rsidR="00235407">
        <w:t xml:space="preserve"> </w:t>
      </w:r>
      <w:r>
        <w:t xml:space="preserve">в сельской местности </w:t>
      </w:r>
      <w:r w:rsidRPr="0061076C">
        <w:t>приведет к улучшению демографической ситуации</w:t>
      </w:r>
      <w:r>
        <w:t xml:space="preserve"> и </w:t>
      </w:r>
      <w:r w:rsidRPr="0061076C">
        <w:t xml:space="preserve">позволит сократить отток населения в трудоспособном возрасте в </w:t>
      </w:r>
      <w:r w:rsidR="00235407">
        <w:t>соседние муниципальные образования</w:t>
      </w:r>
      <w:r w:rsidRPr="0061076C">
        <w:t>.</w:t>
      </w:r>
      <w:r w:rsidR="00235407">
        <w:t xml:space="preserve"> </w:t>
      </w:r>
      <w:r w:rsidRPr="007D0589">
        <w:t xml:space="preserve">Активизация жилищного строительства будет также способствовать развитию программы </w:t>
      </w:r>
      <w:r w:rsidR="00B262CC">
        <w:t>расселения из аварийного,</w:t>
      </w:r>
      <w:r w:rsidRPr="007D0589">
        <w:t xml:space="preserve"> ветхого</w:t>
      </w:r>
      <w:r w:rsidR="00B262CC">
        <w:t xml:space="preserve"> и фенольного</w:t>
      </w:r>
      <w:r w:rsidRPr="007D0589">
        <w:t xml:space="preserve"> жилья.</w:t>
      </w:r>
      <w:r w:rsidR="00F45E48">
        <w:t xml:space="preserve"> </w:t>
      </w:r>
      <w:r w:rsidR="00F45E48" w:rsidRPr="002A0FCE">
        <w:rPr>
          <w:shd w:val="clear" w:color="auto" w:fill="FFFFFF"/>
        </w:rPr>
        <w:t xml:space="preserve">В жилищном строительстве приоритет также </w:t>
      </w:r>
      <w:r w:rsidR="00F45E48" w:rsidRPr="002A0FCE">
        <w:rPr>
          <w:shd w:val="clear" w:color="auto" w:fill="FFFFFF"/>
        </w:rPr>
        <w:lastRenderedPageBreak/>
        <w:t xml:space="preserve">будет отдан в пользу </w:t>
      </w:r>
      <w:r w:rsidR="00F45E48" w:rsidRPr="002A0FCE">
        <w:rPr>
          <w:spacing w:val="2"/>
          <w:shd w:val="clear" w:color="auto" w:fill="FFFFFF"/>
        </w:rPr>
        <w:t>новых современных, энергоэффективных и ресурсосберегающих технологий и строительных материалов</w:t>
      </w:r>
      <w:r w:rsidR="00F45E48" w:rsidRPr="002A0FCE">
        <w:t>.</w:t>
      </w:r>
    </w:p>
    <w:p w14:paraId="6A8495E0" w14:textId="4723C86C" w:rsidR="00643188" w:rsidRPr="00B52808" w:rsidRDefault="00046988" w:rsidP="00A93D7F">
      <w:pPr>
        <w:rPr>
          <w:shd w:val="clear" w:color="auto" w:fill="FFFFFF"/>
        </w:rPr>
      </w:pPr>
      <w:r w:rsidRPr="00B52808">
        <w:rPr>
          <w:shd w:val="clear" w:color="auto" w:fill="FFFFFF"/>
        </w:rPr>
        <w:t xml:space="preserve">Повышение общего уровня благоустройства жилищного фонда </w:t>
      </w:r>
      <w:r w:rsidR="00FC5758" w:rsidRPr="00B52808">
        <w:rPr>
          <w:shd w:val="clear" w:color="auto" w:fill="FFFFFF"/>
        </w:rPr>
        <w:t>будет</w:t>
      </w:r>
      <w:r w:rsidR="00FC5758" w:rsidRPr="002A0FCE">
        <w:rPr>
          <w:shd w:val="clear" w:color="auto" w:fill="FFFFFF"/>
        </w:rPr>
        <w:t xml:space="preserve"> реализовано за счет </w:t>
      </w:r>
      <w:r w:rsidRPr="002A0FCE">
        <w:rPr>
          <w:rFonts w:eastAsia="Times New Roman"/>
        </w:rPr>
        <w:t>п</w:t>
      </w:r>
      <w:r w:rsidR="00FC5758" w:rsidRPr="002A0FCE">
        <w:rPr>
          <w:rFonts w:eastAsia="Times New Roman"/>
        </w:rPr>
        <w:t>овышения</w:t>
      </w:r>
      <w:r w:rsidRPr="002A0FCE">
        <w:rPr>
          <w:rFonts w:eastAsia="Times New Roman"/>
        </w:rPr>
        <w:t xml:space="preserve"> эффективности содержания общего имущества многоквартирных домов</w:t>
      </w:r>
      <w:r w:rsidR="00FC5758" w:rsidRPr="002A0FCE">
        <w:rPr>
          <w:rFonts w:eastAsia="Times New Roman"/>
        </w:rPr>
        <w:t xml:space="preserve">, а также приведения </w:t>
      </w:r>
      <w:r w:rsidRPr="002A0FCE">
        <w:t>уровня благоустройства дворовых территорий и мест общего пользования</w:t>
      </w:r>
      <w:r w:rsidR="00DC7BDA" w:rsidRPr="002A0FCE">
        <w:t xml:space="preserve"> в соответствие</w:t>
      </w:r>
      <w:r w:rsidRPr="002A0FCE">
        <w:t xml:space="preserve"> с </w:t>
      </w:r>
      <w:r w:rsidR="00F303B2" w:rsidRPr="002A0FCE">
        <w:rPr>
          <w:rFonts w:eastAsia="Calibri"/>
        </w:rPr>
        <w:t>нормами Градостроительного и Жилищного кодексов Российской Федерации</w:t>
      </w:r>
      <w:r w:rsidR="00F33D45" w:rsidRPr="002A0FCE">
        <w:rPr>
          <w:rFonts w:eastAsia="Calibri"/>
        </w:rPr>
        <w:t>.</w:t>
      </w:r>
    </w:p>
    <w:p w14:paraId="42CCA04A" w14:textId="77777777" w:rsidR="00B52808" w:rsidRDefault="00B52808" w:rsidP="00A93D7F"/>
    <w:p w14:paraId="56B0D870" w14:textId="25456647" w:rsidR="00A93D7F" w:rsidRDefault="00B52808" w:rsidP="00A93D7F">
      <w:r w:rsidRPr="002A0FCE">
        <w:t xml:space="preserve">Ключевой задачей является </w:t>
      </w:r>
      <w:r w:rsidRPr="00182D19">
        <w:rPr>
          <w:i/>
        </w:rPr>
        <w:t>повышение квалификации сотрудников жилищно-коммунальной сферы,</w:t>
      </w:r>
      <w:r w:rsidRPr="002A0FCE">
        <w:t xml:space="preserve"> </w:t>
      </w:r>
      <w:r w:rsidRPr="002A0FCE">
        <w:rPr>
          <w:rFonts w:eastAsia="Times New Roman"/>
          <w:bCs/>
        </w:rPr>
        <w:t>увеличение осведомленности</w:t>
      </w:r>
      <w:r w:rsidRPr="002A0FCE">
        <w:rPr>
          <w:rFonts w:eastAsia="Times New Roman"/>
          <w:shd w:val="clear" w:color="auto" w:fill="FFFFFF"/>
        </w:rPr>
        <w:t> </w:t>
      </w:r>
      <w:r w:rsidRPr="000A66E3">
        <w:rPr>
          <w:rFonts w:eastAsia="Times New Roman"/>
          <w:shd w:val="clear" w:color="auto" w:fill="FFFFFF"/>
        </w:rPr>
        <w:t>по вопросам энергоэффективности в ЖКХ</w:t>
      </w:r>
      <w:bookmarkStart w:id="33" w:name="244"/>
      <w:r w:rsidRPr="002A0FCE">
        <w:rPr>
          <w:rFonts w:eastAsia="Times New Roman"/>
          <w:shd w:val="clear" w:color="auto" w:fill="FFFFFF"/>
        </w:rPr>
        <w:t xml:space="preserve"> и возможностях </w:t>
      </w:r>
      <w:r w:rsidRPr="002A0FCE">
        <w:t xml:space="preserve">энергосбережении в быту, </w:t>
      </w:r>
      <w:r w:rsidR="00A93D7F">
        <w:t>совершенствование информационных систем и Интернет-ресурсов на муниципальном уровне, популяризация и пропаганда энергосбережения и повышения энергетической эффективности среди различных групп населения, в том числе в составе образовательных программ учебных заведений</w:t>
      </w:r>
      <w:r w:rsidRPr="002A0FCE">
        <w:t>.</w:t>
      </w:r>
      <w:bookmarkEnd w:id="33"/>
      <w:r>
        <w:t xml:space="preserve"> </w:t>
      </w:r>
      <w:r w:rsidR="00F33D45" w:rsidRPr="002A0FCE">
        <w:t>Формирование и стимулирование позитивного общественного мнения о социальной значимости и экономической целесообразности процесса энергосбережения и повышения энергетической эффективности, а также обеспечение всех заинтересованных лиц информацией о возможных путях участия в этом процессе является важной частью решения поставленной задачи повышения энергоэффективности жилищно-коммунального комплекса.</w:t>
      </w:r>
      <w:r w:rsidR="002A0FCE" w:rsidRPr="002A0FCE">
        <w:t xml:space="preserve"> </w:t>
      </w:r>
      <w:r w:rsidR="00CE62B5">
        <w:t>К</w:t>
      </w:r>
      <w:r w:rsidR="002A0FCE" w:rsidRPr="002A0FCE">
        <w:t xml:space="preserve">аждый участник процесса производства и потребления энергетических ресурсов на территории района должен быть проинформирован о том, что он может и должен сделать для повышения эффективности функционирования энергетической системы. </w:t>
      </w:r>
    </w:p>
    <w:p w14:paraId="2DC5D542" w14:textId="60B16C20" w:rsidR="000044F2" w:rsidRPr="00B901C4" w:rsidRDefault="000044F2" w:rsidP="00A93D7F"/>
    <w:p w14:paraId="0597C6B8" w14:textId="77777777" w:rsidR="00BF7B12" w:rsidRPr="00257729" w:rsidRDefault="00BF7B12" w:rsidP="00A93D7F"/>
    <w:p w14:paraId="5C8C0189" w14:textId="467CEC62" w:rsidR="003A2E76" w:rsidRDefault="008B1EFD" w:rsidP="00A93D7F">
      <w:pPr>
        <w:pStyle w:val="4"/>
      </w:pPr>
      <w:bookmarkStart w:id="34" w:name="_Toc503913876"/>
      <w:bookmarkStart w:id="35" w:name="_Toc504055116"/>
      <w:r>
        <w:t>Направление «</w:t>
      </w:r>
      <w:r w:rsidR="00B80AC7">
        <w:t xml:space="preserve">Обеспечение </w:t>
      </w:r>
      <w:r w:rsidR="00B80AC7" w:rsidRPr="009C48D2">
        <w:t>рационального природопользования и экологической безопасности</w:t>
      </w:r>
      <w:bookmarkEnd w:id="34"/>
      <w:r>
        <w:t>»</w:t>
      </w:r>
      <w:bookmarkEnd w:id="35"/>
    </w:p>
    <w:p w14:paraId="56799349" w14:textId="77777777" w:rsidR="00907574" w:rsidRDefault="00907574" w:rsidP="00A93D7F"/>
    <w:p w14:paraId="41854D15" w14:textId="6A3DD894" w:rsidR="008B1EFD" w:rsidRPr="00C249C6" w:rsidRDefault="000F1A10" w:rsidP="00A93D7F">
      <w:pPr>
        <w:rPr>
          <w:rFonts w:ascii="Times" w:hAnsi="Times" w:cs="Times"/>
          <w:color w:val="000000"/>
        </w:rPr>
      </w:pPr>
      <w:r w:rsidRPr="00C249C6">
        <w:t>Цел</w:t>
      </w:r>
      <w:r w:rsidR="00C249C6" w:rsidRPr="00C249C6">
        <w:t>ями</w:t>
      </w:r>
      <w:r w:rsidRPr="00C249C6">
        <w:t xml:space="preserve"> реализации направления социально-экономического развития Нефтеюганского района «Обеспечение рационального природопользования и экологической безопасности» </w:t>
      </w:r>
      <w:r w:rsidR="00E34129" w:rsidRPr="00C249C6">
        <w:rPr>
          <w:shd w:val="clear" w:color="auto" w:fill="FFFFFF"/>
        </w:rPr>
        <w:t>являе</w:t>
      </w:r>
      <w:r w:rsidRPr="00C249C6">
        <w:rPr>
          <w:shd w:val="clear" w:color="auto" w:fill="FFFFFF"/>
        </w:rPr>
        <w:t>тся</w:t>
      </w:r>
      <w:r w:rsidR="00C249C6" w:rsidRPr="00C249C6">
        <w:rPr>
          <w:shd w:val="clear" w:color="auto" w:fill="FFFFFF"/>
        </w:rPr>
        <w:t xml:space="preserve"> </w:t>
      </w:r>
      <w:r w:rsidR="00C249C6" w:rsidRPr="00C249C6">
        <w:rPr>
          <w:color w:val="000000"/>
        </w:rPr>
        <w:t xml:space="preserve">сохранение и восстановление природной среды, обеспечение качества окружающей среды, необходимого для благоприятной жизни населения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изменений климата. </w:t>
      </w:r>
    </w:p>
    <w:p w14:paraId="33BE938F" w14:textId="77777777" w:rsidR="00281D21" w:rsidRDefault="00281D21" w:rsidP="00A93D7F"/>
    <w:p w14:paraId="31EB0488" w14:textId="7C34DA21" w:rsidR="008B1EFD" w:rsidRDefault="000F1A10" w:rsidP="00A93D7F">
      <w:r>
        <w:t>Для достижения обозначен</w:t>
      </w:r>
      <w:r w:rsidR="00C249C6">
        <w:t>ных</w:t>
      </w:r>
      <w:r>
        <w:t xml:space="preserve"> ц</w:t>
      </w:r>
      <w:r w:rsidR="00C249C6">
        <w:t>елей</w:t>
      </w:r>
      <w:r>
        <w:t xml:space="preserve"> будут решены следующие задачи: </w:t>
      </w:r>
    </w:p>
    <w:p w14:paraId="17F600FF" w14:textId="3F6F7A47" w:rsidR="003A08CA" w:rsidRPr="00A50A76" w:rsidRDefault="003A08CA" w:rsidP="00A93D7F">
      <w:pPr>
        <w:pStyle w:val="a0"/>
        <w:numPr>
          <w:ilvl w:val="0"/>
          <w:numId w:val="48"/>
        </w:numPr>
      </w:pPr>
      <w:r w:rsidRPr="00A50A76">
        <w:t>обеспечение сохранения естественных экосистем (природных ландшафтов, источников чистой воды);</w:t>
      </w:r>
    </w:p>
    <w:p w14:paraId="060E28FD" w14:textId="5557214F" w:rsidR="003A08CA" w:rsidRPr="00A50A76" w:rsidRDefault="009F2476" w:rsidP="00A93D7F">
      <w:pPr>
        <w:pStyle w:val="a0"/>
        <w:numPr>
          <w:ilvl w:val="0"/>
          <w:numId w:val="48"/>
        </w:numPr>
      </w:pPr>
      <w:r w:rsidRPr="00DC0845">
        <w:t>фо</w:t>
      </w:r>
      <w:r>
        <w:t>рмирование</w:t>
      </w:r>
      <w:r w:rsidRPr="00DC0845">
        <w:t xml:space="preserve"> эффективной внутрирайонной системы управления отходами</w:t>
      </w:r>
      <w:r w:rsidR="003A08CA" w:rsidRPr="00A50A76">
        <w:t>;</w:t>
      </w:r>
    </w:p>
    <w:p w14:paraId="6DDA491E" w14:textId="0300ABCD" w:rsidR="003A08CA" w:rsidRPr="00A50A76" w:rsidRDefault="003A08CA" w:rsidP="00A93D7F">
      <w:pPr>
        <w:pStyle w:val="a0"/>
        <w:numPr>
          <w:ilvl w:val="0"/>
          <w:numId w:val="48"/>
        </w:numPr>
      </w:pPr>
      <w:r w:rsidRPr="00A50A76">
        <w:t>минимизация воздействия объектов ЖКХ на окружающую среду;</w:t>
      </w:r>
    </w:p>
    <w:p w14:paraId="40C42A59" w14:textId="36842404" w:rsidR="003A08CA" w:rsidRPr="00A50A76" w:rsidRDefault="003A08CA" w:rsidP="00A93D7F">
      <w:pPr>
        <w:pStyle w:val="a0"/>
        <w:numPr>
          <w:ilvl w:val="0"/>
          <w:numId w:val="48"/>
        </w:numPr>
      </w:pPr>
      <w:r w:rsidRPr="00A50A76">
        <w:t>развитие системы экологического образования и повышение экологической культуры населения;</w:t>
      </w:r>
    </w:p>
    <w:p w14:paraId="264D9BDD" w14:textId="62DA70AC" w:rsidR="000F1A10" w:rsidRDefault="003A08CA" w:rsidP="00A93D7F">
      <w:pPr>
        <w:pStyle w:val="a0"/>
        <w:numPr>
          <w:ilvl w:val="0"/>
          <w:numId w:val="48"/>
        </w:numPr>
      </w:pPr>
      <w:r w:rsidRPr="00A50A76">
        <w:t xml:space="preserve">обеспечение информационно-аналитического сопровождения </w:t>
      </w:r>
      <w:r w:rsidR="00A50A76" w:rsidRPr="00A50A76">
        <w:t>деятельности, направленной на обеспечение экологической безопасности.</w:t>
      </w:r>
    </w:p>
    <w:p w14:paraId="312F928B" w14:textId="77777777" w:rsidR="00281D21" w:rsidRDefault="00281D21" w:rsidP="00A93D7F"/>
    <w:p w14:paraId="4862CDC6" w14:textId="24C4D31B" w:rsidR="00902F90" w:rsidRPr="007D2FB1" w:rsidRDefault="00920079" w:rsidP="00A93D7F">
      <w:r w:rsidRPr="00902F90">
        <w:t>Реализация данного направления будет способствовать сохранению</w:t>
      </w:r>
      <w:r w:rsidR="00924A7D" w:rsidRPr="00902F90">
        <w:t xml:space="preserve"> и восстановлени</w:t>
      </w:r>
      <w:r w:rsidR="00AA2D5D" w:rsidRPr="00902F90">
        <w:t>ю</w:t>
      </w:r>
      <w:r w:rsidR="00492DB4" w:rsidRPr="00902F90">
        <w:t xml:space="preserve"> </w:t>
      </w:r>
      <w:r w:rsidRPr="00902F90">
        <w:t>природной</w:t>
      </w:r>
      <w:r w:rsidR="00492DB4" w:rsidRPr="00902F90">
        <w:t xml:space="preserve"> среды, </w:t>
      </w:r>
      <w:r w:rsidRPr="00902F90">
        <w:t>обеспечению</w:t>
      </w:r>
      <w:r w:rsidR="00492DB4" w:rsidRPr="00902F90">
        <w:t xml:space="preserve"> качества </w:t>
      </w:r>
      <w:r w:rsidRPr="00902F90">
        <w:t>окружающей</w:t>
      </w:r>
      <w:r w:rsidR="00492DB4" w:rsidRPr="00902F90">
        <w:t xml:space="preserve"> среды, необходимого для </w:t>
      </w:r>
      <w:r w:rsidRPr="00902F90">
        <w:t>благоприятной</w:t>
      </w:r>
      <w:r w:rsidR="00492DB4" w:rsidRPr="00902F90">
        <w:t xml:space="preserve"> жизни населения и усто</w:t>
      </w:r>
      <w:r w:rsidRPr="00902F90">
        <w:t>й</w:t>
      </w:r>
      <w:r w:rsidR="00492DB4" w:rsidRPr="00902F90">
        <w:t xml:space="preserve">чивого развития экономики, </w:t>
      </w:r>
      <w:r w:rsidRPr="00902F90">
        <w:t>ликвидации</w:t>
      </w:r>
      <w:r w:rsidR="00492DB4" w:rsidRPr="00902F90">
        <w:t xml:space="preserve"> накопленного вреда окружающе</w:t>
      </w:r>
      <w:r w:rsidRPr="00902F90">
        <w:t xml:space="preserve">й </w:t>
      </w:r>
      <w:r w:rsidR="00492DB4" w:rsidRPr="00902F90">
        <w:t xml:space="preserve">среде вследствие </w:t>
      </w:r>
      <w:r w:rsidRPr="00902F90">
        <w:t>ведения хозяй</w:t>
      </w:r>
      <w:r w:rsidR="00492DB4" w:rsidRPr="00902F90">
        <w:t>ственно</w:t>
      </w:r>
      <w:r w:rsidRPr="00902F90">
        <w:t xml:space="preserve">й </w:t>
      </w:r>
      <w:r w:rsidR="00492DB4" w:rsidRPr="00902F90">
        <w:t xml:space="preserve">и </w:t>
      </w:r>
      <w:r w:rsidRPr="00902F90">
        <w:lastRenderedPageBreak/>
        <w:t>иной</w:t>
      </w:r>
      <w:r w:rsidR="00492DB4" w:rsidRPr="00902F90">
        <w:t xml:space="preserve"> деятельности в условиях </w:t>
      </w:r>
      <w:r w:rsidRPr="00902F90">
        <w:t>возрастающей</w:t>
      </w:r>
      <w:r w:rsidR="00492DB4" w:rsidRPr="00902F90">
        <w:t xml:space="preserve"> </w:t>
      </w:r>
      <w:r w:rsidRPr="00902F90">
        <w:t>экономической</w:t>
      </w:r>
      <w:r w:rsidR="00492DB4" w:rsidRPr="00902F90">
        <w:t xml:space="preserve"> активности и глобальных изменений климата. </w:t>
      </w:r>
      <w:r w:rsidR="000B2B93" w:rsidRPr="00902F90">
        <w:t xml:space="preserve">При разработке направления были учтены основные положения Концепции экологической безопасности Ханты-Мансийского автономного округа – Югры на период до 2030 года. </w:t>
      </w:r>
    </w:p>
    <w:p w14:paraId="52065AF0" w14:textId="77777777" w:rsidR="00334615" w:rsidRDefault="00334615" w:rsidP="00A93D7F"/>
    <w:p w14:paraId="390740C3" w14:textId="1D53FAB3" w:rsidR="00EC04D0" w:rsidRPr="00902F90" w:rsidRDefault="008D4263" w:rsidP="00A93D7F">
      <w:r w:rsidRPr="00281D21">
        <w:rPr>
          <w:i/>
        </w:rPr>
        <w:t>С</w:t>
      </w:r>
      <w:r w:rsidR="00F32C7F" w:rsidRPr="00281D21">
        <w:rPr>
          <w:i/>
        </w:rPr>
        <w:t>охранение естественных эко</w:t>
      </w:r>
      <w:r w:rsidR="00281D21" w:rsidRPr="00281D21">
        <w:rPr>
          <w:i/>
        </w:rPr>
        <w:t xml:space="preserve">логических </w:t>
      </w:r>
      <w:r w:rsidRPr="00281D21">
        <w:rPr>
          <w:i/>
        </w:rPr>
        <w:t>систем</w:t>
      </w:r>
      <w:r w:rsidR="00F32C7F" w:rsidRPr="00902F90">
        <w:t xml:space="preserve"> </w:t>
      </w:r>
      <w:r w:rsidRPr="00902F90">
        <w:t>(</w:t>
      </w:r>
      <w:r w:rsidR="00F32C7F" w:rsidRPr="00902F90">
        <w:t>природных лан</w:t>
      </w:r>
      <w:r w:rsidRPr="00902F90">
        <w:t>дшафтов, источников чистой воды),</w:t>
      </w:r>
      <w:r w:rsidR="00F32C7F" w:rsidRPr="00902F90">
        <w:t xml:space="preserve"> </w:t>
      </w:r>
      <w:r w:rsidR="00C237BE" w:rsidRPr="00902F90">
        <w:t>составляющих естественный резерв для саморегуляции и восстановления природных комплексов</w:t>
      </w:r>
      <w:r w:rsidR="00F57DB2" w:rsidRPr="00902F90">
        <w:t>, будет реализовано посредством создания и поддержания особо охраняемых природных территорий</w:t>
      </w:r>
      <w:r w:rsidR="00FD7C64" w:rsidRPr="00902F90">
        <w:t>. В зонах промышленного освоения формирование сети охраняемых территорий рассматривается как превентивная мера, имеющая целью оградить часть территории от разрушения в связи с возможным изменением природопользования, промышленным освоением.</w:t>
      </w:r>
    </w:p>
    <w:p w14:paraId="5712576F" w14:textId="40DE2271" w:rsidR="00F57DB2" w:rsidRPr="00902F90" w:rsidRDefault="00EC04D0" w:rsidP="00A93D7F">
      <w:r w:rsidRPr="00902F90">
        <w:t>Сформированная сеть особо охраняемых природных территорий обеспечит сохранение в естественном состоянии типичных зональных природных комплексов, разнообразия растительного и животного мира, а также ресурсного потенциала для традиционного природопользования в интересах коренного населения</w:t>
      </w:r>
      <w:r w:rsidR="007838F9" w:rsidRPr="00902F90">
        <w:t>.</w:t>
      </w:r>
      <w:r w:rsidR="00DF1F40" w:rsidRPr="00902F90">
        <w:t xml:space="preserve"> На территории Нефтеюганского района созданы </w:t>
      </w:r>
      <w:r w:rsidR="00577CF7" w:rsidRPr="00902F90">
        <w:t xml:space="preserve">две особо охраняемых территории: </w:t>
      </w:r>
      <w:r w:rsidR="00577CF7" w:rsidRPr="00902F90">
        <w:rPr>
          <w:rFonts w:eastAsia="Times New Roman"/>
        </w:rPr>
        <w:t>особо охраняемая природная территория регионального значения</w:t>
      </w:r>
      <w:r w:rsidR="00577CF7" w:rsidRPr="00902F90">
        <w:t xml:space="preserve"> «Чеускинский бор» и памятник природы регионального значения «Дальний Нырис». На втором этапе реализации Стратегии будет создан Природный парк регионального значения «Пунси»</w:t>
      </w:r>
      <w:r w:rsidR="00692146" w:rsidRPr="00902F90">
        <w:t>.</w:t>
      </w:r>
    </w:p>
    <w:p w14:paraId="46C8D8D5" w14:textId="60837526" w:rsidR="005016A1" w:rsidRPr="00902F90" w:rsidRDefault="005016A1" w:rsidP="00A93D7F">
      <w:r w:rsidRPr="00902F90">
        <w:t xml:space="preserve">Перспективные особо охраняемые природные территории в Нефтеюганском районе </w:t>
      </w:r>
      <w:r w:rsidR="00A27690" w:rsidRPr="00902F90">
        <w:t xml:space="preserve">частично </w:t>
      </w:r>
      <w:r w:rsidRPr="00902F90">
        <w:t>со</w:t>
      </w:r>
      <w:r w:rsidR="00A27690" w:rsidRPr="00902F90">
        <w:t xml:space="preserve">впадают с родовыми угодьями, что </w:t>
      </w:r>
      <w:r w:rsidRPr="00902F90">
        <w:t xml:space="preserve">позволяет максимально учесть интересы коренного населения. На значительной части охраняемых природных территорий допускается оленеводство, охота, рыболовство. Для реализации задач охраны природы должна быть предусмотрена оптимизация традиционного природопользования, опирающаяся на корректную инвентаризацию ресурсов, нормирование и контроль. Создание сети особо охраняемых природных территорий в Нефтеюганском районе обеспечит экологическую стабильность, сохранение биоразнообразия, соблюдение интересов коренного населения.  </w:t>
      </w:r>
    </w:p>
    <w:p w14:paraId="63D44C84" w14:textId="4A0E61A5" w:rsidR="00A53C9C" w:rsidRPr="00902F90" w:rsidRDefault="00D70C21" w:rsidP="00A93D7F">
      <w:r w:rsidRPr="00902F90">
        <w:rPr>
          <w:lang w:eastAsia="x-none"/>
        </w:rPr>
        <w:t xml:space="preserve">В целях сохранения </w:t>
      </w:r>
      <w:r w:rsidRPr="00902F90">
        <w:t>естественных экосистем на территории Нефтеюганского района</w:t>
      </w:r>
      <w:r w:rsidR="00D37BD3" w:rsidRPr="00902F90">
        <w:t>, следует учитывать геоморфологические элементы земной поверхности (уступы, склоны, скаты холмов и террас, болота, долины рек и ручьев) при территориальном планировании и в ландшафтной архитектуре.</w:t>
      </w:r>
    </w:p>
    <w:p w14:paraId="255F3F26" w14:textId="77777777" w:rsidR="00334615" w:rsidRDefault="00334615" w:rsidP="00A93D7F"/>
    <w:p w14:paraId="0C9C1135" w14:textId="63909648" w:rsidR="00F32C7F" w:rsidRPr="00281D21" w:rsidRDefault="009F2476" w:rsidP="00A93D7F">
      <w:pPr>
        <w:rPr>
          <w:rFonts w:eastAsia="Times New Roman"/>
          <w:i/>
        </w:rPr>
      </w:pPr>
      <w:r w:rsidRPr="009F2476">
        <w:rPr>
          <w:i/>
        </w:rPr>
        <w:t>Формирование эффективной внутрирайонной системы управления отходами</w:t>
      </w:r>
      <w:r w:rsidR="00281D21" w:rsidRPr="00281D21">
        <w:rPr>
          <w:rFonts w:eastAsia="Times New Roman"/>
        </w:rPr>
        <w:t xml:space="preserve"> и</w:t>
      </w:r>
      <w:r w:rsidR="00281D21">
        <w:rPr>
          <w:rFonts w:eastAsia="Times New Roman"/>
          <w:i/>
        </w:rPr>
        <w:t xml:space="preserve"> </w:t>
      </w:r>
      <w:r w:rsidR="00281D21" w:rsidRPr="00281D21">
        <w:rPr>
          <w:rFonts w:eastAsia="Times New Roman"/>
        </w:rPr>
        <w:t>р</w:t>
      </w:r>
      <w:r w:rsidR="00813F0B" w:rsidRPr="00281D21">
        <w:t>ешение проблем отходов техногенного характера (переработка отходов промышленных предприятий</w:t>
      </w:r>
      <w:r w:rsidR="00813F0B" w:rsidRPr="000717D6">
        <w:t xml:space="preserve"> и сельскохозяйственного производства, утилизация и переработка твердых бытовых отходов)</w:t>
      </w:r>
      <w:r w:rsidR="00B73E27" w:rsidRPr="000717D6">
        <w:t xml:space="preserve"> будет осуществляться посредством следующих мероприятий:</w:t>
      </w:r>
    </w:p>
    <w:p w14:paraId="1B172E3E" w14:textId="6CDB33A8" w:rsidR="0025645A" w:rsidRPr="000717D6" w:rsidRDefault="0025645A" w:rsidP="00A93D7F">
      <w:pPr>
        <w:pStyle w:val="a0"/>
        <w:numPr>
          <w:ilvl w:val="0"/>
          <w:numId w:val="38"/>
        </w:numPr>
      </w:pPr>
      <w:r w:rsidRPr="000717D6">
        <w:t>реконструкция и модернизация существующих полигонов в соответствии с требованиями природоохранного законодательства;</w:t>
      </w:r>
    </w:p>
    <w:p w14:paraId="5A4CE283" w14:textId="58DF6D79" w:rsidR="00F32C7F" w:rsidRPr="000717D6" w:rsidRDefault="00B73E27" w:rsidP="00A93D7F">
      <w:pPr>
        <w:pStyle w:val="a0"/>
        <w:numPr>
          <w:ilvl w:val="0"/>
          <w:numId w:val="38"/>
        </w:numPr>
      </w:pPr>
      <w:r w:rsidRPr="000717D6">
        <w:t>строительство новых межмуниципальных и локальных полигонов отхо</w:t>
      </w:r>
      <w:r w:rsidR="0025645A" w:rsidRPr="000717D6">
        <w:t xml:space="preserve">дов производства и потребления </w:t>
      </w:r>
      <w:r w:rsidRPr="000717D6">
        <w:t>(Нефтеюганского межмуниципального комплексного полигона твердых бытовых отходов для городов Нефтеюганск и Пыть-Ях, поселений Нефтеюганского района)</w:t>
      </w:r>
      <w:r w:rsidR="0025645A" w:rsidRPr="000717D6">
        <w:t>;</w:t>
      </w:r>
    </w:p>
    <w:p w14:paraId="60980AEE" w14:textId="0CEF89A6" w:rsidR="0025645A" w:rsidRPr="000717D6" w:rsidRDefault="0025645A" w:rsidP="00A93D7F">
      <w:pPr>
        <w:pStyle w:val="a0"/>
        <w:numPr>
          <w:ilvl w:val="0"/>
          <w:numId w:val="38"/>
        </w:numPr>
      </w:pPr>
      <w:r w:rsidRPr="000717D6">
        <w:t>рекультивация несанкционированных свалок в границах муниципальных образований сп. Усть-Юган, сп. Сентябрьский, сп. Каркатеевы, с. Чеускино;</w:t>
      </w:r>
    </w:p>
    <w:p w14:paraId="6F9C7222" w14:textId="17073BAA" w:rsidR="00A274F3" w:rsidRPr="000717D6" w:rsidRDefault="0025645A" w:rsidP="006B5A3E">
      <w:pPr>
        <w:pStyle w:val="ConsPlusNormal"/>
        <w:numPr>
          <w:ilvl w:val="0"/>
          <w:numId w:val="38"/>
        </w:numPr>
        <w:jc w:val="both"/>
        <w:rPr>
          <w:sz w:val="24"/>
          <w:szCs w:val="24"/>
        </w:rPr>
      </w:pPr>
      <w:r w:rsidRPr="000717D6">
        <w:rPr>
          <w:sz w:val="24"/>
          <w:szCs w:val="24"/>
        </w:rPr>
        <w:t xml:space="preserve">организация </w:t>
      </w:r>
      <w:r w:rsidR="00A274F3" w:rsidRPr="000717D6">
        <w:rPr>
          <w:sz w:val="24"/>
          <w:szCs w:val="24"/>
        </w:rPr>
        <w:t>раздельного сбора отходов в поселениях района, приобретение контейнеров для раздельног</w:t>
      </w:r>
      <w:r w:rsidR="00B93DEF" w:rsidRPr="000717D6">
        <w:rPr>
          <w:sz w:val="24"/>
          <w:szCs w:val="24"/>
        </w:rPr>
        <w:t>о (селективного) сбора отходов;</w:t>
      </w:r>
    </w:p>
    <w:p w14:paraId="23B0BC34" w14:textId="6C193090" w:rsidR="0091371A" w:rsidRPr="007D2FB1" w:rsidRDefault="00B93DEF" w:rsidP="00A93D7F">
      <w:pPr>
        <w:pStyle w:val="a0"/>
        <w:numPr>
          <w:ilvl w:val="0"/>
          <w:numId w:val="38"/>
        </w:numPr>
        <w:rPr>
          <w:rFonts w:ascii="Times" w:hAnsi="Times" w:cs="Times"/>
        </w:rPr>
      </w:pPr>
      <w:r w:rsidRPr="000717D6">
        <w:t>развитие</w:t>
      </w:r>
      <w:r w:rsidR="0091371A" w:rsidRPr="000717D6">
        <w:t xml:space="preserve"> системы эффективного обращения с отход</w:t>
      </w:r>
      <w:r w:rsidRPr="000717D6">
        <w:t>ами производства и потребления путем создания</w:t>
      </w:r>
      <w:r w:rsidR="0091371A" w:rsidRPr="000717D6">
        <w:t xml:space="preserve"> индустрии утилизации, в том числе повтор</w:t>
      </w:r>
      <w:r w:rsidRPr="000717D6">
        <w:t>ного применения, таких отходов.</w:t>
      </w:r>
    </w:p>
    <w:p w14:paraId="028437D9" w14:textId="77777777" w:rsidR="00334615" w:rsidRDefault="00334615" w:rsidP="00A93D7F"/>
    <w:p w14:paraId="008FCEE9" w14:textId="3B1FC5F4" w:rsidR="00A21962" w:rsidRPr="007864AF" w:rsidRDefault="00281D21" w:rsidP="00A93D7F">
      <w:pPr>
        <w:rPr>
          <w:i/>
        </w:rPr>
      </w:pPr>
      <w:r w:rsidRPr="00281D21">
        <w:t>В целях</w:t>
      </w:r>
      <w:r>
        <w:rPr>
          <w:i/>
        </w:rPr>
        <w:t xml:space="preserve"> минимизации</w:t>
      </w:r>
      <w:r w:rsidR="000717D6" w:rsidRPr="00146790">
        <w:rPr>
          <w:i/>
        </w:rPr>
        <w:t xml:space="preserve"> воздействия объектов ЖКХ на окружающую среду</w:t>
      </w:r>
      <w:r w:rsidR="007864AF">
        <w:rPr>
          <w:i/>
        </w:rPr>
        <w:t xml:space="preserve"> </w:t>
      </w:r>
      <w:r w:rsidR="007864AF">
        <w:t>и</w:t>
      </w:r>
      <w:r w:rsidR="00AA535B" w:rsidRPr="00F45EE9">
        <w:t xml:space="preserve"> </w:t>
      </w:r>
      <w:r w:rsidR="007864AF">
        <w:t xml:space="preserve">предотвращения реализации </w:t>
      </w:r>
      <w:r w:rsidR="00AA535B" w:rsidRPr="00F45EE9">
        <w:t>экологических рисков долгосрочного социально-экономического развития района будет реализован комплекс мероприятий, направленных на:</w:t>
      </w:r>
    </w:p>
    <w:p w14:paraId="35FA8F8B" w14:textId="77777777" w:rsidR="00AA535B" w:rsidRPr="00F45EE9" w:rsidRDefault="00AA535B" w:rsidP="00A93D7F">
      <w:pPr>
        <w:pStyle w:val="a0"/>
        <w:numPr>
          <w:ilvl w:val="0"/>
          <w:numId w:val="39"/>
        </w:numPr>
        <w:rPr>
          <w:rFonts w:ascii="Times" w:hAnsi="Times" w:cs="Times"/>
        </w:rPr>
      </w:pPr>
      <w:r w:rsidRPr="00F45EE9">
        <w:t xml:space="preserve">содействие внедрению инновационных и экологически чистых технологий, обеспечивающих минимизацию вреда окружающей среде; </w:t>
      </w:r>
    </w:p>
    <w:p w14:paraId="395AA47A" w14:textId="1403107C" w:rsidR="00AA535B" w:rsidRPr="00F45EE9" w:rsidRDefault="00AA535B" w:rsidP="00A93D7F">
      <w:pPr>
        <w:pStyle w:val="a0"/>
        <w:numPr>
          <w:ilvl w:val="0"/>
          <w:numId w:val="39"/>
        </w:numPr>
        <w:rPr>
          <w:rFonts w:ascii="Times" w:hAnsi="Times" w:cs="Times"/>
        </w:rPr>
      </w:pPr>
      <w:r w:rsidRPr="00F45EE9">
        <w:t xml:space="preserve">содействие разработке и внедрению энергосберегающих технологий во всех отраслях экономики, способствующих сокращению энергоемкости экономики и уменьшения выбросов парниковых газов; </w:t>
      </w:r>
    </w:p>
    <w:p w14:paraId="2B615BB0" w14:textId="77777777" w:rsidR="00E637A6" w:rsidRPr="00F45EE9" w:rsidRDefault="00C11258" w:rsidP="00A93D7F">
      <w:pPr>
        <w:pStyle w:val="a0"/>
        <w:numPr>
          <w:ilvl w:val="0"/>
          <w:numId w:val="39"/>
        </w:numPr>
      </w:pPr>
      <w:r w:rsidRPr="00F45EE9">
        <w:t>привлечение частных инвестиций в проекты обеспечения экологическо</w:t>
      </w:r>
      <w:r w:rsidR="00AA535B" w:rsidRPr="00F45EE9">
        <w:t>й</w:t>
      </w:r>
      <w:r w:rsidRPr="00F45EE9">
        <w:t xml:space="preserve"> безопасности</w:t>
      </w:r>
      <w:r w:rsidR="00AA535B" w:rsidRPr="00F45EE9">
        <w:t>, а также повышение энергоэффективности сферы ЖКХ</w:t>
      </w:r>
      <w:r w:rsidR="00E637A6" w:rsidRPr="00F45EE9">
        <w:t xml:space="preserve"> посредством механизмов муниципально-частного партнерства</w:t>
      </w:r>
      <w:r w:rsidRPr="00F45EE9">
        <w:t xml:space="preserve">; </w:t>
      </w:r>
    </w:p>
    <w:p w14:paraId="410D6E66" w14:textId="2828A80A" w:rsidR="00642924" w:rsidRPr="007D2FB1" w:rsidRDefault="00E637A6" w:rsidP="00A93D7F">
      <w:pPr>
        <w:pStyle w:val="a0"/>
        <w:numPr>
          <w:ilvl w:val="0"/>
          <w:numId w:val="39"/>
        </w:numPr>
        <w:rPr>
          <w:rFonts w:ascii="Times" w:hAnsi="Times" w:cs="Times"/>
        </w:rPr>
      </w:pPr>
      <w:r w:rsidRPr="00F45EE9">
        <w:t>п</w:t>
      </w:r>
      <w:r w:rsidR="00C11258" w:rsidRPr="00F45EE9">
        <w:t>рекращение сброса неочищенных сточных вод в реки Большой Салым, Вандрас и Ай-Ега</w:t>
      </w:r>
      <w:r w:rsidRPr="00F45EE9">
        <w:t xml:space="preserve"> </w:t>
      </w:r>
      <w:r w:rsidR="00C11258" w:rsidRPr="00F45EE9">
        <w:t>за счет строительства новых и реконструкции существующих канализационных очистных сооружений в поселке Салым</w:t>
      </w:r>
      <w:r w:rsidRPr="00F45EE9">
        <w:t>.</w:t>
      </w:r>
    </w:p>
    <w:p w14:paraId="30031D35" w14:textId="77777777" w:rsidR="00334615" w:rsidRDefault="00334615" w:rsidP="00A93D7F"/>
    <w:p w14:paraId="06FF302A" w14:textId="3A139A58" w:rsidR="007E2EEF" w:rsidRPr="007864AF" w:rsidRDefault="007864AF" w:rsidP="00A93D7F">
      <w:pPr>
        <w:rPr>
          <w:i/>
        </w:rPr>
      </w:pPr>
      <w:r w:rsidRPr="00F45EE9">
        <w:t xml:space="preserve">Решение экологических проблем должно осуществляться не только техническими средствами, но и путем </w:t>
      </w:r>
      <w:r>
        <w:rPr>
          <w:i/>
        </w:rPr>
        <w:t>р</w:t>
      </w:r>
      <w:r w:rsidR="00BB1425" w:rsidRPr="00F45EE9">
        <w:rPr>
          <w:i/>
        </w:rPr>
        <w:t>азвит</w:t>
      </w:r>
      <w:r>
        <w:rPr>
          <w:i/>
        </w:rPr>
        <w:t>ия</w:t>
      </w:r>
      <w:r w:rsidR="00BB1425" w:rsidRPr="00F45EE9">
        <w:rPr>
          <w:i/>
        </w:rPr>
        <w:t xml:space="preserve"> системы экологического образо</w:t>
      </w:r>
      <w:r>
        <w:rPr>
          <w:i/>
        </w:rPr>
        <w:t>вания и повышения</w:t>
      </w:r>
      <w:r w:rsidR="00E7141A">
        <w:rPr>
          <w:i/>
        </w:rPr>
        <w:t xml:space="preserve"> экологической</w:t>
      </w:r>
      <w:r w:rsidR="00BB1425" w:rsidRPr="00F45EE9">
        <w:rPr>
          <w:i/>
        </w:rPr>
        <w:t xml:space="preserve"> культуры населения</w:t>
      </w:r>
      <w:r>
        <w:rPr>
          <w:i/>
        </w:rPr>
        <w:t xml:space="preserve">. </w:t>
      </w:r>
      <w:r w:rsidR="007E2EEF" w:rsidRPr="00F45EE9">
        <w:t>Улучшение окружающей среды возможно только посредством формирования активной экологической позиции всех слоев населения, руководителей предприятий, учреждений и организаций района.</w:t>
      </w:r>
    </w:p>
    <w:p w14:paraId="10AB3CED" w14:textId="77777777" w:rsidR="004759D6" w:rsidRPr="00F45EE9" w:rsidRDefault="00264762" w:rsidP="00A93D7F">
      <w:pPr>
        <w:rPr>
          <w:rFonts w:eastAsia="Times New Roman"/>
        </w:rPr>
      </w:pPr>
      <w:r w:rsidRPr="00F45EE9">
        <w:rPr>
          <w:rFonts w:eastAsia="Times New Roman"/>
        </w:rPr>
        <w:t>С этой целью администрацией Нефтеюганского района будет продолжена работа по р</w:t>
      </w:r>
      <w:r w:rsidRPr="00F45EE9">
        <w:t xml:space="preserve">аспространению среди всех групп населения </w:t>
      </w:r>
      <w:r w:rsidR="003421DC" w:rsidRPr="00F45EE9">
        <w:t>экологических знаний, формированию</w:t>
      </w:r>
      <w:r w:rsidRPr="00F45EE9">
        <w:t xml:space="preserve"> экологически мотивированных культурных навыков</w:t>
      </w:r>
      <w:r w:rsidR="003421DC" w:rsidRPr="00F45EE9">
        <w:t xml:space="preserve"> и вовлечению </w:t>
      </w:r>
      <w:r w:rsidRPr="00F45EE9">
        <w:t>населения</w:t>
      </w:r>
      <w:r w:rsidR="003421DC" w:rsidRPr="00F45EE9">
        <w:t xml:space="preserve"> </w:t>
      </w:r>
      <w:r w:rsidRPr="00F45EE9">
        <w:t>в эколого-просветительские и эколого-образовательные мероприятия</w:t>
      </w:r>
      <w:r w:rsidRPr="00F45EE9">
        <w:rPr>
          <w:bCs/>
        </w:rPr>
        <w:t>.</w:t>
      </w:r>
    </w:p>
    <w:p w14:paraId="32D5C77F" w14:textId="3AC348E5" w:rsidR="003A5710" w:rsidRPr="007D2FB1" w:rsidRDefault="004759D6" w:rsidP="00A93D7F">
      <w:pPr>
        <w:rPr>
          <w:rFonts w:eastAsia="Times New Roman"/>
        </w:rPr>
      </w:pPr>
      <w:r w:rsidRPr="00F45EE9">
        <w:t>С</w:t>
      </w:r>
      <w:r w:rsidR="00642924" w:rsidRPr="00F45EE9">
        <w:t>оциальный аспект экологического развития</w:t>
      </w:r>
      <w:r w:rsidR="0097351A" w:rsidRPr="00F45EE9">
        <w:t xml:space="preserve"> </w:t>
      </w:r>
      <w:r w:rsidRPr="00F45EE9">
        <w:t>Нефтеюганского района</w:t>
      </w:r>
      <w:r w:rsidR="00860F6E" w:rsidRPr="00F45EE9">
        <w:t xml:space="preserve"> также подразумевает </w:t>
      </w:r>
      <w:r w:rsidR="00C90C5B" w:rsidRPr="00F45EE9">
        <w:t>сохранение практики проведения окружных экологических акций</w:t>
      </w:r>
      <w:r w:rsidR="00860F6E" w:rsidRPr="00F45EE9">
        <w:t>, организацию</w:t>
      </w:r>
      <w:r w:rsidR="00C90C5B" w:rsidRPr="00F45EE9">
        <w:t xml:space="preserve"> региональных конкурсов, смотров, олимпиад и других массовых мероприятий в области экологичес</w:t>
      </w:r>
      <w:r w:rsidR="00860F6E" w:rsidRPr="00F45EE9">
        <w:t xml:space="preserve">кого образования и просвещения, а также </w:t>
      </w:r>
      <w:r w:rsidR="00E07D18" w:rsidRPr="00F45EE9">
        <w:t>соде</w:t>
      </w:r>
      <w:r w:rsidR="00860F6E" w:rsidRPr="00F45EE9">
        <w:t>й</w:t>
      </w:r>
      <w:r w:rsidR="00E07D18" w:rsidRPr="00F45EE9">
        <w:t xml:space="preserve">ствие общественным экологическим движениям и объединениям </w:t>
      </w:r>
      <w:r w:rsidR="00860F6E" w:rsidRPr="00F45EE9">
        <w:t>на территории района</w:t>
      </w:r>
      <w:r w:rsidR="00E07D18" w:rsidRPr="00F45EE9">
        <w:t xml:space="preserve">. </w:t>
      </w:r>
    </w:p>
    <w:p w14:paraId="078C64C9" w14:textId="77777777" w:rsidR="00334615" w:rsidRDefault="00334615" w:rsidP="00A93D7F"/>
    <w:p w14:paraId="19F3FC9C" w14:textId="628FD193" w:rsidR="00BF279E" w:rsidRPr="00F45EE9" w:rsidRDefault="00BF279E" w:rsidP="00A93D7F">
      <w:r w:rsidRPr="00F45EE9">
        <w:t xml:space="preserve">Немаловажным аспектом в обеспечении экологической безопасности Нефтеюганского района и осуществлении непрерывного обучения населения экологическим навыкам является </w:t>
      </w:r>
      <w:r w:rsidRPr="007864AF">
        <w:rPr>
          <w:i/>
        </w:rPr>
        <w:t xml:space="preserve">информационно-аналитическое сопровождение деятельности, направленной на </w:t>
      </w:r>
      <w:r w:rsidR="0093358E" w:rsidRPr="007864AF">
        <w:rPr>
          <w:i/>
        </w:rPr>
        <w:t>обеспечение</w:t>
      </w:r>
      <w:r w:rsidRPr="007864AF">
        <w:rPr>
          <w:i/>
        </w:rPr>
        <w:t xml:space="preserve"> экологической безопасности</w:t>
      </w:r>
      <w:r w:rsidR="0093358E" w:rsidRPr="007864AF">
        <w:rPr>
          <w:i/>
        </w:rPr>
        <w:t>.</w:t>
      </w:r>
      <w:r w:rsidR="0093358E" w:rsidRPr="00F45EE9">
        <w:t xml:space="preserve"> Информационно-аналитическая деятельность на территории района будет осуществляться посредством:</w:t>
      </w:r>
    </w:p>
    <w:p w14:paraId="506E850D" w14:textId="7EAF3A91" w:rsidR="00112B39" w:rsidRPr="00F45EE9" w:rsidRDefault="0093358E" w:rsidP="00A93D7F">
      <w:pPr>
        <w:pStyle w:val="a0"/>
        <w:numPr>
          <w:ilvl w:val="0"/>
          <w:numId w:val="40"/>
        </w:numPr>
        <w:rPr>
          <w:rFonts w:ascii="Times" w:hAnsi="Times" w:cs="Times"/>
        </w:rPr>
      </w:pPr>
      <w:r w:rsidRPr="00F45EE9">
        <w:t>подготовки</w:t>
      </w:r>
      <w:r w:rsidR="00860F6E" w:rsidRPr="00F45EE9">
        <w:t xml:space="preserve"> </w:t>
      </w:r>
      <w:r w:rsidRPr="00F45EE9">
        <w:t>и издания</w:t>
      </w:r>
      <w:r w:rsidR="00860F6E" w:rsidRPr="00F45EE9">
        <w:t xml:space="preserve"> учебно-методических материалов с включе</w:t>
      </w:r>
      <w:r w:rsidRPr="00F45EE9">
        <w:t>нием вопросов охраны окружающей среды, экологической</w:t>
      </w:r>
      <w:r w:rsidR="00860F6E" w:rsidRPr="00F45EE9">
        <w:t xml:space="preserve"> безопасности и безопасного приро</w:t>
      </w:r>
      <w:r w:rsidRPr="00F45EE9">
        <w:t xml:space="preserve">допользования для всех уровней </w:t>
      </w:r>
      <w:r w:rsidR="00860F6E" w:rsidRPr="00F45EE9">
        <w:t xml:space="preserve">образовательного процесса; </w:t>
      </w:r>
      <w:r w:rsidR="00112B39" w:rsidRPr="00F45EE9">
        <w:t xml:space="preserve"> </w:t>
      </w:r>
    </w:p>
    <w:p w14:paraId="5F49458C" w14:textId="398FB881" w:rsidR="003A5710" w:rsidRPr="00F45EE9" w:rsidRDefault="003A5710" w:rsidP="00A93D7F">
      <w:pPr>
        <w:pStyle w:val="a0"/>
        <w:numPr>
          <w:ilvl w:val="0"/>
          <w:numId w:val="40"/>
        </w:numPr>
      </w:pPr>
      <w:r w:rsidRPr="00F45EE9">
        <w:t>обес</w:t>
      </w:r>
      <w:r w:rsidR="0093358E" w:rsidRPr="00F45EE9">
        <w:t>печения органов государственной власти и населения информацией о состоянии окружающей</w:t>
      </w:r>
      <w:r w:rsidRPr="00F45EE9">
        <w:t xml:space="preserve"> среды, </w:t>
      </w:r>
      <w:r w:rsidR="0093358E" w:rsidRPr="00F45EE9">
        <w:t>порядке</w:t>
      </w:r>
      <w:r w:rsidRPr="00F45EE9">
        <w:t xml:space="preserve"> обращения с отходам</w:t>
      </w:r>
      <w:r w:rsidR="0093358E" w:rsidRPr="00F45EE9">
        <w:t xml:space="preserve">и производства и потребления, </w:t>
      </w:r>
      <w:r w:rsidRPr="00F45EE9">
        <w:t xml:space="preserve">состоянии атмосферного воздуха, поверхностных и подземных вод, их загрязнении, состоянии </w:t>
      </w:r>
      <w:r w:rsidR="0093358E" w:rsidRPr="00F45EE9">
        <w:t>растительного и животного мира;</w:t>
      </w:r>
    </w:p>
    <w:p w14:paraId="5E6482E8" w14:textId="12F092F9" w:rsidR="006F1FA9" w:rsidRPr="00C0616F" w:rsidRDefault="00F45EE9" w:rsidP="00A93D7F">
      <w:pPr>
        <w:pStyle w:val="a0"/>
        <w:numPr>
          <w:ilvl w:val="0"/>
          <w:numId w:val="40"/>
        </w:numPr>
        <w:rPr>
          <w:rFonts w:ascii="Times" w:hAnsi="Times" w:cs="Times"/>
        </w:rPr>
      </w:pPr>
      <w:r>
        <w:t>подготовки и публикации</w:t>
      </w:r>
      <w:r w:rsidR="00112B39" w:rsidRPr="00F45EE9">
        <w:t xml:space="preserve"> матер</w:t>
      </w:r>
      <w:r w:rsidR="0093358E" w:rsidRPr="00F45EE9">
        <w:t>иалов по вопросам экологической</w:t>
      </w:r>
      <w:r w:rsidR="00112B39" w:rsidRPr="00F45EE9">
        <w:t xml:space="preserve"> бе</w:t>
      </w:r>
      <w:r w:rsidR="0093358E" w:rsidRPr="00F45EE9">
        <w:t>зопасности в средствах массовой информации (электронных и печатных изданиях</w:t>
      </w:r>
      <w:r w:rsidR="00112B39" w:rsidRPr="00F45EE9">
        <w:t xml:space="preserve">). </w:t>
      </w:r>
    </w:p>
    <w:p w14:paraId="0DA7195E" w14:textId="77777777" w:rsidR="008060A9" w:rsidRPr="008060A9" w:rsidRDefault="008060A9" w:rsidP="00A93D7F"/>
    <w:p w14:paraId="6D4A80A9" w14:textId="65E9C619" w:rsidR="00FA2D75" w:rsidRPr="009C63B0" w:rsidRDefault="00B1399C" w:rsidP="00A93D7F">
      <w:pPr>
        <w:pStyle w:val="4"/>
      </w:pPr>
      <w:bookmarkStart w:id="36" w:name="_Toc503913877"/>
      <w:bookmarkStart w:id="37" w:name="_Toc504055117"/>
      <w:r>
        <w:lastRenderedPageBreak/>
        <w:t>Направление «Пространственное</w:t>
      </w:r>
      <w:r w:rsidR="001C10A5">
        <w:t xml:space="preserve"> развитие</w:t>
      </w:r>
      <w:r w:rsidR="00FA2D75" w:rsidRPr="009C63B0">
        <w:t xml:space="preserve"> городского и сельских поселений Нефтеюганского района</w:t>
      </w:r>
      <w:bookmarkEnd w:id="36"/>
      <w:r>
        <w:t>»</w:t>
      </w:r>
      <w:bookmarkEnd w:id="37"/>
    </w:p>
    <w:p w14:paraId="21865427" w14:textId="77777777" w:rsidR="009C63B0" w:rsidRDefault="009C63B0" w:rsidP="00A93D7F">
      <w:pPr>
        <w:pStyle w:val="a0"/>
      </w:pPr>
    </w:p>
    <w:p w14:paraId="09B7F124" w14:textId="5E43D6A6" w:rsidR="00BD4767" w:rsidRPr="00170A01" w:rsidRDefault="00B1399C" w:rsidP="00A93D7F">
      <w:pPr>
        <w:rPr>
          <w:color w:val="000000" w:themeColor="text1"/>
          <w:lang w:eastAsia="x-none"/>
        </w:rPr>
      </w:pPr>
      <w:r w:rsidRPr="00896108">
        <w:t xml:space="preserve">Цель </w:t>
      </w:r>
      <w:r w:rsidR="00E47B8C" w:rsidRPr="00896108">
        <w:t>реализации направления социально-экономического развития Нефтеюганского района «Пространственное</w:t>
      </w:r>
      <w:r w:rsidR="001C10A5" w:rsidRPr="00896108">
        <w:t xml:space="preserve"> развитие</w:t>
      </w:r>
      <w:r w:rsidR="00E47B8C" w:rsidRPr="00896108">
        <w:t xml:space="preserve"> городского и сельских поселений Нефтеюганского района</w:t>
      </w:r>
      <w:r w:rsidR="001C10A5" w:rsidRPr="00896108">
        <w:t>»</w:t>
      </w:r>
      <w:r w:rsidR="00896108">
        <w:t xml:space="preserve"> </w:t>
      </w:r>
      <w:r w:rsidR="00896108">
        <w:rPr>
          <w:rFonts w:eastAsia="Times New Roman"/>
          <w:color w:val="2D2D2D"/>
          <w:spacing w:val="2"/>
          <w:shd w:val="clear" w:color="auto" w:fill="FFFFFF"/>
        </w:rPr>
        <w:t>–</w:t>
      </w:r>
      <w:r w:rsidR="00BD4767">
        <w:rPr>
          <w:rFonts w:eastAsia="Times New Roman"/>
          <w:color w:val="2D2D2D"/>
          <w:spacing w:val="2"/>
          <w:shd w:val="clear" w:color="auto" w:fill="FFFFFF"/>
        </w:rPr>
        <w:t xml:space="preserve"> </w:t>
      </w:r>
      <w:r w:rsidR="00BD4767" w:rsidRPr="00DC0845">
        <w:t xml:space="preserve">максимальное использование потенциала каждой зоны освоения в интересах устойчивого развития </w:t>
      </w:r>
      <w:r w:rsidR="00BD4767" w:rsidRPr="00170A01">
        <w:rPr>
          <w:color w:val="000000" w:themeColor="text1"/>
        </w:rPr>
        <w:t xml:space="preserve">всего района как целостной социально-экономической системы, повышение качества жизни населения и создание благоприятных условий для инновационного развития экономики и повышения ее конкурентоспособности. </w:t>
      </w:r>
    </w:p>
    <w:p w14:paraId="7377330B" w14:textId="78F22B4F" w:rsidR="005D7AC7" w:rsidRPr="00170A01" w:rsidRDefault="005D7AC7" w:rsidP="00A93D7F">
      <w:pPr>
        <w:rPr>
          <w:shd w:val="clear" w:color="auto" w:fill="FFFFFF"/>
        </w:rPr>
      </w:pPr>
      <w:r w:rsidRPr="00170A01">
        <w:rPr>
          <w:shd w:val="clear" w:color="auto" w:fill="FFFFFF"/>
        </w:rPr>
        <w:t>Для достижения поставленной цели будут достигнуты следующие задачи:</w:t>
      </w:r>
    </w:p>
    <w:p w14:paraId="3B6AD295" w14:textId="77777777" w:rsidR="00BD4767" w:rsidRDefault="00BD4767" w:rsidP="00A93D7F">
      <w:pPr>
        <w:pStyle w:val="a0"/>
        <w:numPr>
          <w:ilvl w:val="0"/>
          <w:numId w:val="49"/>
        </w:numPr>
      </w:pPr>
      <w:r w:rsidRPr="00170A01">
        <w:t xml:space="preserve">переход к гибким инструментам пространственного развития, отражающим применение к пространственному развитию принципа проектного подхода (развитие межпоселенческих социально-экономических связей и взаимодействие в сопровождении </w:t>
      </w:r>
      <w:r w:rsidRPr="00DC0845">
        <w:t>реализуемых на территории района инвестиционных проектов);</w:t>
      </w:r>
    </w:p>
    <w:p w14:paraId="38F0A060" w14:textId="143D6FD6" w:rsidR="00BD4767" w:rsidRDefault="00BD4767" w:rsidP="00A93D7F">
      <w:pPr>
        <w:pStyle w:val="a0"/>
        <w:numPr>
          <w:ilvl w:val="0"/>
          <w:numId w:val="49"/>
        </w:numPr>
      </w:pPr>
      <w:r>
        <w:t>создание</w:t>
      </w:r>
      <w:r w:rsidRPr="00DC0845">
        <w:t xml:space="preserve"> сетевой (иерархической) структуры автомобильных дорог, обеспечивающей взаимодействие транз</w:t>
      </w:r>
      <w:r w:rsidR="00E93F29">
        <w:t xml:space="preserve">итной сети автомагистралей и </w:t>
      </w:r>
      <w:r w:rsidR="00E93F29" w:rsidRPr="00DC0845">
        <w:t xml:space="preserve">транспортных систем </w:t>
      </w:r>
      <w:r w:rsidR="00E93F29">
        <w:t xml:space="preserve">муниципального района </w:t>
      </w:r>
      <w:r w:rsidRPr="00DC0845">
        <w:t>и отдельных населенных пунктов;</w:t>
      </w:r>
    </w:p>
    <w:p w14:paraId="66D6BCD7" w14:textId="14FC7419" w:rsidR="002A0AC5" w:rsidRDefault="00BD4767" w:rsidP="00A93D7F">
      <w:pPr>
        <w:pStyle w:val="a0"/>
        <w:numPr>
          <w:ilvl w:val="0"/>
          <w:numId w:val="49"/>
        </w:numPr>
      </w:pPr>
      <w:r>
        <w:t>повышение</w:t>
      </w:r>
      <w:r w:rsidRPr="00DC0845">
        <w:t xml:space="preserve"> информационной связности пространства </w:t>
      </w:r>
      <w:r>
        <w:t>района</w:t>
      </w:r>
      <w:r w:rsidRPr="00DC0845">
        <w:t xml:space="preserve"> за счет развития системы информационно-коммуникационных технологий</w:t>
      </w:r>
      <w:r w:rsidR="006F248A">
        <w:t>, в том числе спутниковой связи</w:t>
      </w:r>
      <w:r w:rsidRPr="00DC0845">
        <w:t>.</w:t>
      </w:r>
    </w:p>
    <w:p w14:paraId="5F03498D" w14:textId="77777777" w:rsidR="00334615" w:rsidRDefault="00334615" w:rsidP="00A93D7F"/>
    <w:p w14:paraId="78E6FC78" w14:textId="580BC1B9" w:rsidR="003D7C04" w:rsidRPr="00DC0845" w:rsidRDefault="002A0AC5" w:rsidP="00A93D7F">
      <w:r w:rsidRPr="00F11A6D">
        <w:rPr>
          <w:i/>
        </w:rPr>
        <w:t>Переход к гибким инструментам пространственного развития</w:t>
      </w:r>
      <w:r w:rsidR="00E03041" w:rsidRPr="00F11A6D">
        <w:rPr>
          <w:i/>
        </w:rPr>
        <w:t xml:space="preserve"> </w:t>
      </w:r>
      <w:r w:rsidR="00E03041">
        <w:t xml:space="preserve">обуславливает </w:t>
      </w:r>
      <w:r w:rsidR="00F11A6D">
        <w:t>зонирование территории района и выделение поселений, которые создадут наибольший вклад в социально-экономическое развитие территории в долгосрочной перспективе.</w:t>
      </w:r>
      <w:r w:rsidRPr="00DC0845">
        <w:t xml:space="preserve"> </w:t>
      </w:r>
      <w:r w:rsidR="007E2B28" w:rsidRPr="00DC0845">
        <w:t>На территории</w:t>
      </w:r>
      <w:r w:rsidR="003D7C04" w:rsidRPr="00DC0845">
        <w:t xml:space="preserve"> Нефтеюганского района </w:t>
      </w:r>
      <w:r w:rsidR="007E2B28" w:rsidRPr="00DC0845">
        <w:t>сформированы две крупные зоны пространственного развития: более плотно заселенная северо-восточная часть (гп. Пойковский и соседние поселения) и юго-западная часть (локальный производственный центр сп. Салым).</w:t>
      </w:r>
    </w:p>
    <w:p w14:paraId="6458AEC8" w14:textId="54DE0657" w:rsidR="00A400FC" w:rsidRPr="00DC0845" w:rsidRDefault="00F37C45" w:rsidP="00A93D7F">
      <w:pPr>
        <w:rPr>
          <w:rFonts w:eastAsia="Calibri"/>
        </w:rPr>
      </w:pPr>
      <w:r w:rsidRPr="00DC0845">
        <w:t>Северо-восточная</w:t>
      </w:r>
      <w:r w:rsidR="0005323A" w:rsidRPr="00DC0845">
        <w:t xml:space="preserve"> часть Нефтеюганского района </w:t>
      </w:r>
      <w:r w:rsidR="00DF68E6" w:rsidRPr="00DC0845">
        <w:t>(</w:t>
      </w:r>
      <w:r w:rsidR="00C552A8" w:rsidRPr="00DC0845">
        <w:t>в нее входят гп. </w:t>
      </w:r>
      <w:r w:rsidR="00DF68E6" w:rsidRPr="00DC0845">
        <w:t>Пойковский,</w:t>
      </w:r>
      <w:r w:rsidR="00FF18EC" w:rsidRPr="00DC0845">
        <w:t xml:space="preserve"> сп. Сингапай, сп. Усть-Юган, с</w:t>
      </w:r>
      <w:r w:rsidR="00C552A8" w:rsidRPr="00DC0845">
        <w:t>п.</w:t>
      </w:r>
      <w:r w:rsidR="00FF18EC" w:rsidRPr="00DC0845">
        <w:t xml:space="preserve"> Каркатеевы)</w:t>
      </w:r>
      <w:r w:rsidR="00DF68E6" w:rsidRPr="00DC0845">
        <w:t xml:space="preserve"> </w:t>
      </w:r>
      <w:r w:rsidR="0005323A" w:rsidRPr="00DC0845">
        <w:t>относится к районам старопромышленного освоения</w:t>
      </w:r>
      <w:r w:rsidR="00DF68E6" w:rsidRPr="00DC0845">
        <w:t xml:space="preserve"> или локальным базам</w:t>
      </w:r>
      <w:r w:rsidR="0005323A" w:rsidRPr="00DC0845">
        <w:t xml:space="preserve"> ме</w:t>
      </w:r>
      <w:r w:rsidR="00DF68E6" w:rsidRPr="00DC0845">
        <w:t>сторождений со снижением добычи</w:t>
      </w:r>
      <w:r w:rsidR="00A400FC" w:rsidRPr="00DC0845">
        <w:t xml:space="preserve">. </w:t>
      </w:r>
      <w:r w:rsidR="00A400FC" w:rsidRPr="00DC0845">
        <w:rPr>
          <w:rFonts w:eastAsia="Calibri"/>
        </w:rPr>
        <w:t xml:space="preserve">Основной спецификой пространства староосвоенных районов является более высокая плотность населения, </w:t>
      </w:r>
      <w:r w:rsidR="001155F7" w:rsidRPr="00DC0845">
        <w:rPr>
          <w:rFonts w:eastAsia="Calibri"/>
        </w:rPr>
        <w:t>высокая плотность автодорог общего пользования и развитое транспортное сообщение с крупными региональными центрами</w:t>
      </w:r>
      <w:r w:rsidR="00A400FC" w:rsidRPr="00DC0845">
        <w:rPr>
          <w:rFonts w:eastAsia="Calibri"/>
        </w:rPr>
        <w:t>, наличие во многих населенных пунктах сразу нескольких взаимодополняющих видов транспорта (речной, автомобильный, железнодорожный).</w:t>
      </w:r>
    </w:p>
    <w:p w14:paraId="53B24016" w14:textId="77777777" w:rsidR="00883480" w:rsidRPr="00DC0845" w:rsidRDefault="003703EA" w:rsidP="00A93D7F">
      <w:r w:rsidRPr="00DC0845">
        <w:t>Ключевой специализацией территории в долгосрочной перспективе остается разработка трудноизвлекаемых запасов нефти, при этом связность территории, входящей в состав кластера, будет обеспечиваться посредством развития транспортно-логистического комплекса (гп. Пойковский, сп. Салым).</w:t>
      </w:r>
      <w:r w:rsidR="00974AEC" w:rsidRPr="00DC0845">
        <w:t xml:space="preserve"> </w:t>
      </w:r>
      <w:r w:rsidR="00883480" w:rsidRPr="00DC0845">
        <w:t>Приоритетами развития кластера нефтегазодобычи на территории Нефтеюганского района на перспективу до 2030 г. являются:</w:t>
      </w:r>
    </w:p>
    <w:p w14:paraId="7851762A" w14:textId="77777777" w:rsidR="00883480" w:rsidRPr="00DC0845" w:rsidRDefault="00883480" w:rsidP="00A93D7F">
      <w:pPr>
        <w:pStyle w:val="a0"/>
        <w:numPr>
          <w:ilvl w:val="0"/>
          <w:numId w:val="6"/>
        </w:numPr>
      </w:pPr>
      <w:r w:rsidRPr="00DC0845">
        <w:t xml:space="preserve">привлечение передовых технологий сбора, добычи газа в сложных геологических условиях; </w:t>
      </w:r>
    </w:p>
    <w:p w14:paraId="682F11DB" w14:textId="77777777" w:rsidR="00883480" w:rsidRPr="00DC0845" w:rsidRDefault="00883480" w:rsidP="00A93D7F">
      <w:pPr>
        <w:pStyle w:val="a0"/>
        <w:numPr>
          <w:ilvl w:val="0"/>
          <w:numId w:val="6"/>
        </w:numPr>
      </w:pPr>
      <w:r w:rsidRPr="00DC0845">
        <w:t>реализация проектов переработки попутного нефтяного газа как для нужд экономики района (диверсификация топливно-энергетического баланса), так и для производства газохимической продукции на свободный рынок;</w:t>
      </w:r>
    </w:p>
    <w:p w14:paraId="70CCEE46" w14:textId="77777777" w:rsidR="00883480" w:rsidRPr="00DC0845" w:rsidRDefault="00883480" w:rsidP="00A93D7F">
      <w:pPr>
        <w:pStyle w:val="a0"/>
        <w:numPr>
          <w:ilvl w:val="0"/>
          <w:numId w:val="6"/>
        </w:numPr>
      </w:pPr>
      <w:r w:rsidRPr="00DC0845">
        <w:lastRenderedPageBreak/>
        <w:t xml:space="preserve">развитие отраслей машиностроения и металлообработки (ремонт машин, нефтепромыслового и бурового оборудования, изготовление металлических конструкций и изделий, антикоррозионная обработка труб и т. д.). </w:t>
      </w:r>
    </w:p>
    <w:p w14:paraId="681FC65F" w14:textId="4BE00780" w:rsidR="003106A1" w:rsidRPr="00C55186" w:rsidRDefault="004C6910" w:rsidP="00A93D7F">
      <w:r w:rsidRPr="00DC0845">
        <w:t>Концентрация усилий по поддержке процессов диверсификации экономической деятельности в этой зоне позволит создать конкурентоспособные новые виды деятельности</w:t>
      </w:r>
      <w:r w:rsidR="005F6EE8" w:rsidRPr="00DC0845">
        <w:t xml:space="preserve"> – отрасли обрабатывающей промышленности (производство строительных материалов), агропромышленный комплекс, широкий спектр услуг, жилищное строительство.</w:t>
      </w:r>
      <w:r w:rsidR="00F21A56" w:rsidRPr="00DC0845">
        <w:t xml:space="preserve"> Многие виды деятельности могут иметь мобильный, нестационарный характер (сезонная торговля, сезонный транспорт, лесозаготовки и др.). </w:t>
      </w:r>
    </w:p>
    <w:p w14:paraId="09F8C8E3" w14:textId="75E0828C" w:rsidR="0084756C" w:rsidRPr="00DC0845" w:rsidRDefault="0084756C" w:rsidP="00A93D7F">
      <w:r w:rsidRPr="00DC0845">
        <w:t xml:space="preserve">Создание и развитие субъектов малого и среднего предпринимательства в </w:t>
      </w:r>
      <w:r w:rsidR="00C23A25">
        <w:t>отрасли</w:t>
      </w:r>
      <w:r w:rsidRPr="00DC0845">
        <w:t xml:space="preserve"> производства строительных материалов и других обрабатывающих производств обеспечит увеличение самозанятости населения и создание рабочих мест в несырьевом секторе экономики района, а также окажет положительное влияние на развитие городского и сельских поселений района при наличии спроса со стороны соседних муниципальных образований (г. Нефтеюганск, г. Сургут, г. Ханты-Мансийск и др.).</w:t>
      </w:r>
    </w:p>
    <w:p w14:paraId="63858425" w14:textId="17C5B325" w:rsidR="00026E61" w:rsidRPr="00C0616F" w:rsidRDefault="00026E61" w:rsidP="00A93D7F">
      <w:r w:rsidRPr="00DC0845">
        <w:t xml:space="preserve">Имеющийся потенциал развития агропромышленного и туристического кластеров </w:t>
      </w:r>
      <w:r w:rsidRPr="00C0616F">
        <w:t>позволяет ожидать их формирование в долгосрочной перспективе</w:t>
      </w:r>
      <w:r w:rsidR="008A215D" w:rsidRPr="00C0616F">
        <w:t xml:space="preserve">, создавая предпосылки </w:t>
      </w:r>
      <w:r w:rsidR="00FE7439" w:rsidRPr="00C0616F">
        <w:t>для увеличения занятости, диверсификации экономической структуры и повышения качества жизни населения на территории всех поселений.</w:t>
      </w:r>
    </w:p>
    <w:p w14:paraId="434A4139" w14:textId="11A407FF" w:rsidR="00A54CB4" w:rsidRPr="00C0616F" w:rsidRDefault="00A54CB4" w:rsidP="00A93D7F">
      <w:r w:rsidRPr="00C0616F">
        <w:t>Перспективные направления</w:t>
      </w:r>
      <w:r w:rsidR="00730709" w:rsidRPr="00C0616F">
        <w:t xml:space="preserve"> социально-экономического развития отдельных муниципальных образований Нефтеюганского района</w:t>
      </w:r>
      <w:bookmarkStart w:id="38" w:name="_Toc503913878"/>
      <w:r w:rsidRPr="00C0616F">
        <w:t xml:space="preserve"> обозначены в </w:t>
      </w:r>
      <w:r w:rsidR="006C51B0" w:rsidRPr="00C0616F">
        <w:t>разделе «Основные направления пространственного развития городского и сельских поселений» Приложения </w:t>
      </w:r>
      <w:r w:rsidRPr="00C0616F">
        <w:t>1.</w:t>
      </w:r>
    </w:p>
    <w:p w14:paraId="468F7DCD" w14:textId="08D4B77C" w:rsidR="005C254E" w:rsidRPr="00C0616F" w:rsidRDefault="005C254E" w:rsidP="00A93D7F">
      <w:r w:rsidRPr="00C0616F">
        <w:t xml:space="preserve">На решение поставленных задач </w:t>
      </w:r>
      <w:r w:rsidR="00235515" w:rsidRPr="00C0616F">
        <w:t xml:space="preserve">повышения инфраструктурной связности территории </w:t>
      </w:r>
      <w:r w:rsidRPr="00C0616F">
        <w:t xml:space="preserve">направлены мероприятия муниципальных программ Нефтеюганского района «Развитие транспортной системы Нефтеюганского района на период 2017-2020 годы» и </w:t>
      </w:r>
      <w:r w:rsidRPr="00C0616F">
        <w:rPr>
          <w:bCs/>
        </w:rPr>
        <w:t xml:space="preserve">«Развитие информационного общества Нефтеюганского района </w:t>
      </w:r>
      <w:r w:rsidRPr="00C0616F">
        <w:t>на 2017-2020 годы».</w:t>
      </w:r>
    </w:p>
    <w:p w14:paraId="1C298084" w14:textId="77777777" w:rsidR="00334615" w:rsidRDefault="00334615" w:rsidP="00A93D7F"/>
    <w:p w14:paraId="3FCAB4DD" w14:textId="1E7171F6" w:rsidR="00134B5C" w:rsidRPr="00C0616F" w:rsidRDefault="00F11A6D" w:rsidP="00A93D7F">
      <w:r w:rsidRPr="00C0616F">
        <w:rPr>
          <w:i/>
        </w:rPr>
        <w:t>Создание сетевой (иерархической) структуры автомобильных дорог</w:t>
      </w:r>
      <w:r w:rsidRPr="00C0616F">
        <w:t xml:space="preserve"> и р</w:t>
      </w:r>
      <w:r w:rsidR="00235515" w:rsidRPr="00C0616F">
        <w:t>азвитие современной транспортной инфраструктуры</w:t>
      </w:r>
      <w:r w:rsidR="006A4CF0" w:rsidRPr="00C0616F">
        <w:t xml:space="preserve"> будет реализовано посредством комплекса мероприятий, направленных на </w:t>
      </w:r>
      <w:r w:rsidR="000172ED" w:rsidRPr="00C0616F">
        <w:t xml:space="preserve">совершенствование улично-дорожной сети поселений, </w:t>
      </w:r>
      <w:r w:rsidR="006A4CF0" w:rsidRPr="00C0616F">
        <w:t>приведение автомобильных дорог общего пользования муниципального значения в нормативное состояние, создание новых объектов транспортной ин</w:t>
      </w:r>
      <w:r w:rsidR="004C61AA" w:rsidRPr="00C0616F">
        <w:t>фраструктуры на территории посел</w:t>
      </w:r>
      <w:r w:rsidR="006A4CF0" w:rsidRPr="00C0616F">
        <w:t>ений</w:t>
      </w:r>
      <w:r w:rsidR="000172ED" w:rsidRPr="00C0616F">
        <w:t xml:space="preserve"> (искусственных дорожных сооружений), а также повышение качества и доступности услуг, оказываемых общественным автомобильным транспортном.</w:t>
      </w:r>
      <w:r w:rsidR="00DA2016" w:rsidRPr="00C0616F">
        <w:t xml:space="preserve"> </w:t>
      </w:r>
    </w:p>
    <w:p w14:paraId="7F33F6B4" w14:textId="77777777" w:rsidR="00334615" w:rsidRDefault="00334615" w:rsidP="00A93D7F"/>
    <w:p w14:paraId="27F59972" w14:textId="2C087034" w:rsidR="00FA7DA9" w:rsidRPr="00C0616F" w:rsidRDefault="00FA7DA9" w:rsidP="00A93D7F">
      <w:r w:rsidRPr="00C0616F">
        <w:rPr>
          <w:i/>
        </w:rPr>
        <w:t>Повышение информационной связности пространства района</w:t>
      </w:r>
      <w:r w:rsidR="00337EF8" w:rsidRPr="00C0616F">
        <w:rPr>
          <w:i/>
        </w:rPr>
        <w:t xml:space="preserve"> </w:t>
      </w:r>
      <w:r w:rsidR="00414A58" w:rsidRPr="00C0616F">
        <w:t xml:space="preserve">будет достигнуто посредством реализации комплекса мероприятий, направленных на инфраструктурное развитие сферы ИКТ (строительство волоконно-оптических линий связи) и внедрение ИКТ в деятельность администрации района (развитие услуг электронного </w:t>
      </w:r>
      <w:r w:rsidR="001A7906" w:rsidRPr="00C0616F">
        <w:t xml:space="preserve">муниципалитета и единой </w:t>
      </w:r>
      <w:r w:rsidR="00144F73" w:rsidRPr="00C0616F">
        <w:t xml:space="preserve">межведомственной </w:t>
      </w:r>
      <w:r w:rsidR="001A7906" w:rsidRPr="00C0616F">
        <w:t>информационной среды,</w:t>
      </w:r>
      <w:r w:rsidR="00414A58" w:rsidRPr="00C0616F">
        <w:t xml:space="preserve"> предоставление муниципальных услуг </w:t>
      </w:r>
      <w:r w:rsidR="00144F73" w:rsidRPr="00C0616F">
        <w:t xml:space="preserve">населению </w:t>
      </w:r>
      <w:r w:rsidR="00414A58" w:rsidRPr="00C0616F">
        <w:t>в электронной форме)</w:t>
      </w:r>
      <w:r w:rsidR="00144F73" w:rsidRPr="00C0616F">
        <w:t>.</w:t>
      </w:r>
    </w:p>
    <w:p w14:paraId="3DA22BA9" w14:textId="77777777" w:rsidR="00CD0C13" w:rsidRPr="005C254E" w:rsidRDefault="00CD0C13" w:rsidP="00A93D7F"/>
    <w:p w14:paraId="3DBFD67E" w14:textId="03947C3D" w:rsidR="005C254E" w:rsidRPr="005C254E" w:rsidRDefault="005C254E" w:rsidP="00A93D7F">
      <w:r>
        <w:t xml:space="preserve">                </w:t>
      </w:r>
    </w:p>
    <w:p w14:paraId="6C02716E" w14:textId="77777777" w:rsidR="005C254E" w:rsidRPr="00A54CB4" w:rsidRDefault="005C254E" w:rsidP="00A93D7F">
      <w:pPr>
        <w:sectPr w:rsidR="005C254E" w:rsidRPr="00A54CB4" w:rsidSect="00D66183">
          <w:pgSz w:w="11900" w:h="16840"/>
          <w:pgMar w:top="1134" w:right="850" w:bottom="1134" w:left="1701" w:header="708" w:footer="708" w:gutter="0"/>
          <w:cols w:space="708"/>
          <w:titlePg/>
          <w:docGrid w:linePitch="360"/>
        </w:sectPr>
      </w:pPr>
    </w:p>
    <w:p w14:paraId="39572898" w14:textId="4F607A8D" w:rsidR="009C63B0" w:rsidRPr="002F2675" w:rsidRDefault="009C63B0" w:rsidP="00A93D7F">
      <w:pPr>
        <w:pStyle w:val="1"/>
      </w:pPr>
      <w:bookmarkStart w:id="39" w:name="_Toc504055118"/>
      <w:r w:rsidRPr="009C63B0">
        <w:lastRenderedPageBreak/>
        <w:t>СИСТЕМА УПРАВЛЕНИЯ СТРАТЕГИЕЙ И КОНТРОЛЬ ЗА ХОДОМ ЕЕ РЕАЛИЗАЦИИ</w:t>
      </w:r>
      <w:bookmarkEnd w:id="38"/>
      <w:bookmarkEnd w:id="39"/>
    </w:p>
    <w:p w14:paraId="0D31FEDA" w14:textId="77777777" w:rsidR="002F2675" w:rsidRDefault="002F2675" w:rsidP="00A93D7F"/>
    <w:p w14:paraId="79DD2C51" w14:textId="77777777" w:rsidR="00B95D46" w:rsidRDefault="00C84A06" w:rsidP="00A93D7F">
      <w:r w:rsidRPr="00FC1B7C">
        <w:t xml:space="preserve">Проект Стратегии и плана по ее реализации </w:t>
      </w:r>
      <w:r w:rsidR="00D30D0B" w:rsidRPr="00FC1B7C">
        <w:t>содержит</w:t>
      </w:r>
      <w:r w:rsidRPr="00FC1B7C">
        <w:t xml:space="preserve"> механизмы внедрения в Нефтеюганском районе новых направлений Стратегии соци</w:t>
      </w:r>
      <w:r w:rsidR="00D30D0B" w:rsidRPr="00FC1B7C">
        <w:t xml:space="preserve">ально-экономического развития </w:t>
      </w:r>
      <w:r w:rsidRPr="00FC1B7C">
        <w:t xml:space="preserve">Ханты-Мансийского автономного округа – Югры до 2030 года, включая направления: </w:t>
      </w:r>
    </w:p>
    <w:p w14:paraId="52671047" w14:textId="77777777" w:rsidR="00B95D46" w:rsidRDefault="00B6583D" w:rsidP="00A93D7F">
      <w:pPr>
        <w:pStyle w:val="a0"/>
        <w:numPr>
          <w:ilvl w:val="0"/>
          <w:numId w:val="37"/>
        </w:numPr>
      </w:pPr>
      <w:r>
        <w:t>«Бережливый регион»;</w:t>
      </w:r>
      <w:r w:rsidR="00C84A06" w:rsidRPr="00FC1B7C">
        <w:t xml:space="preserve"> </w:t>
      </w:r>
    </w:p>
    <w:p w14:paraId="03785B59" w14:textId="77777777" w:rsidR="00B95D46" w:rsidRDefault="00B6583D" w:rsidP="00A93D7F">
      <w:pPr>
        <w:pStyle w:val="a0"/>
        <w:numPr>
          <w:ilvl w:val="0"/>
          <w:numId w:val="37"/>
        </w:numPr>
      </w:pPr>
      <w:r>
        <w:t>«Гражданское общество»;</w:t>
      </w:r>
    </w:p>
    <w:p w14:paraId="6017E3B0" w14:textId="77777777" w:rsidR="00B95D46" w:rsidRDefault="00B6583D" w:rsidP="00A93D7F">
      <w:pPr>
        <w:pStyle w:val="a0"/>
        <w:numPr>
          <w:ilvl w:val="0"/>
          <w:numId w:val="37"/>
        </w:numPr>
      </w:pPr>
      <w:r>
        <w:t>«Проектное управление»;</w:t>
      </w:r>
    </w:p>
    <w:p w14:paraId="762471CF" w14:textId="77777777" w:rsidR="00B95D46" w:rsidRDefault="00C84A06" w:rsidP="00A93D7F">
      <w:pPr>
        <w:pStyle w:val="a0"/>
        <w:numPr>
          <w:ilvl w:val="0"/>
          <w:numId w:val="37"/>
        </w:numPr>
      </w:pPr>
      <w:r w:rsidRPr="00FC1B7C">
        <w:t>«Инвестиционная стратегия»,</w:t>
      </w:r>
    </w:p>
    <w:p w14:paraId="7C3F7832" w14:textId="77777777" w:rsidR="00B95D46" w:rsidRDefault="00B6583D" w:rsidP="00A93D7F">
      <w:pPr>
        <w:pStyle w:val="a0"/>
        <w:numPr>
          <w:ilvl w:val="0"/>
          <w:numId w:val="37"/>
        </w:numPr>
      </w:pPr>
      <w:r w:rsidRPr="00FC1B7C">
        <w:t xml:space="preserve">«Национальная </w:t>
      </w:r>
      <w:r>
        <w:t>предпринимательская инициатива»;</w:t>
      </w:r>
    </w:p>
    <w:p w14:paraId="7614118C" w14:textId="77777777" w:rsidR="00B95D46" w:rsidRDefault="00C84A06" w:rsidP="00A93D7F">
      <w:pPr>
        <w:pStyle w:val="a0"/>
        <w:numPr>
          <w:ilvl w:val="0"/>
          <w:numId w:val="37"/>
        </w:numPr>
      </w:pPr>
      <w:r w:rsidRPr="00FC1B7C">
        <w:t>«</w:t>
      </w:r>
      <w:r w:rsidR="00B6583D">
        <w:t>Финансовые механизмы»;</w:t>
      </w:r>
    </w:p>
    <w:p w14:paraId="7CE77E28" w14:textId="7AF211E1" w:rsidR="00C84A06" w:rsidRPr="00FC1B7C" w:rsidRDefault="00C84A06" w:rsidP="00A93D7F">
      <w:pPr>
        <w:pStyle w:val="a0"/>
        <w:numPr>
          <w:ilvl w:val="0"/>
          <w:numId w:val="37"/>
        </w:numPr>
      </w:pPr>
      <w:r w:rsidRPr="00FC1B7C">
        <w:t>«Внедрение информационно-коммуникационных технологий (Информационное общество)».</w:t>
      </w:r>
    </w:p>
    <w:p w14:paraId="63B254DD" w14:textId="77777777" w:rsidR="00275404" w:rsidRDefault="00275404" w:rsidP="005F7694">
      <w:pPr>
        <w:pStyle w:val="1"/>
        <w:numPr>
          <w:ilvl w:val="0"/>
          <w:numId w:val="0"/>
        </w:numPr>
        <w:ind w:left="720"/>
      </w:pPr>
    </w:p>
    <w:p w14:paraId="45559363" w14:textId="3F613513" w:rsidR="000D752D" w:rsidRPr="00EB44D0" w:rsidRDefault="00E73A7C" w:rsidP="00A93D7F">
      <w:pPr>
        <w:pStyle w:val="2"/>
      </w:pPr>
      <w:bookmarkStart w:id="40" w:name="_Toc503913879"/>
      <w:bookmarkStart w:id="41" w:name="_Toc504055119"/>
      <w:r w:rsidRPr="00EB44D0">
        <w:t>Внедрение технологии бережливого производства («Бережливый регион»)</w:t>
      </w:r>
      <w:bookmarkEnd w:id="40"/>
      <w:bookmarkEnd w:id="41"/>
      <w:r w:rsidRPr="00EB44D0">
        <w:t xml:space="preserve"> </w:t>
      </w:r>
    </w:p>
    <w:p w14:paraId="187B067E" w14:textId="77777777" w:rsidR="00CA1BF6" w:rsidRPr="009F66C4" w:rsidRDefault="00CA1BF6" w:rsidP="00A93D7F"/>
    <w:p w14:paraId="5F8F5349" w14:textId="77777777" w:rsidR="00CA1BF6" w:rsidRPr="009F66C4" w:rsidRDefault="00CA1BF6" w:rsidP="00A93D7F">
      <w:r w:rsidRPr="009F66C4">
        <w:t>В соответствии с концепцией «Бережливый регион», утвержденной распоряжением Правительства Ханты-Мансийского автономного округа – Югры от 19 августа 2016 года № 455-рп, внедрение технологии бережливого производства обусловлено решением задачи по повышению эффективности организаций, направленной на диверсификацию экономики, повышение конкурентоспособности продукции и превращение Югры в глобально-конкурентный и инновационный регион.</w:t>
      </w:r>
    </w:p>
    <w:p w14:paraId="526B979E" w14:textId="4C9C3B3D" w:rsidR="00951697" w:rsidRPr="009F66C4" w:rsidRDefault="00CA1BF6" w:rsidP="00A93D7F">
      <w:r w:rsidRPr="009F66C4">
        <w:t>Бережливое производство является инновационным подходом к управлению, включающим в себя оптимизацию производственных процессов, улучшение качества продукции, сокращение издержек. Цель внедрения инициативы –формирование культуры бережливого производства, повышение производительности труда всех участников общественных и экономических отношений.</w:t>
      </w:r>
      <w:r w:rsidR="00951697" w:rsidRPr="009F66C4">
        <w:t xml:space="preserve"> Достижение указанной цели осуществляется путем решения следующих задач:</w:t>
      </w:r>
    </w:p>
    <w:p w14:paraId="04A47858" w14:textId="77777777" w:rsidR="00951697" w:rsidRPr="009F66C4" w:rsidRDefault="00951697" w:rsidP="00A93D7F">
      <w:pPr>
        <w:pStyle w:val="a0"/>
        <w:numPr>
          <w:ilvl w:val="0"/>
          <w:numId w:val="30"/>
        </w:numPr>
      </w:pPr>
      <w:r w:rsidRPr="009F66C4">
        <w:t>повышение производительности труда во всех организациях и органах управления;</w:t>
      </w:r>
    </w:p>
    <w:p w14:paraId="34A989AF" w14:textId="77777777" w:rsidR="00951697" w:rsidRPr="009F66C4" w:rsidRDefault="00951697" w:rsidP="00A93D7F">
      <w:pPr>
        <w:pStyle w:val="a0"/>
        <w:numPr>
          <w:ilvl w:val="0"/>
          <w:numId w:val="30"/>
        </w:numPr>
      </w:pPr>
      <w:r w:rsidRPr="009F66C4">
        <w:t>повышение эффективности работы исполнительных органов государственной власти и органов местного самоуправления муниципальных образований автономного округа;</w:t>
      </w:r>
    </w:p>
    <w:p w14:paraId="6713BD83" w14:textId="78FF4961" w:rsidR="00951697" w:rsidRPr="009F66C4" w:rsidRDefault="00951697" w:rsidP="00A93D7F">
      <w:pPr>
        <w:pStyle w:val="a0"/>
        <w:numPr>
          <w:ilvl w:val="0"/>
          <w:numId w:val="30"/>
        </w:numPr>
      </w:pPr>
      <w:r w:rsidRPr="009F66C4">
        <w:t>повышение конкурентоспособности муниципального сектора экономики;</w:t>
      </w:r>
    </w:p>
    <w:p w14:paraId="7B5A3A9B" w14:textId="6DBFB16A" w:rsidR="00951697" w:rsidRPr="009F66C4" w:rsidRDefault="00951697" w:rsidP="00A93D7F">
      <w:pPr>
        <w:pStyle w:val="a0"/>
        <w:numPr>
          <w:ilvl w:val="0"/>
          <w:numId w:val="30"/>
        </w:numPr>
      </w:pPr>
      <w:r w:rsidRPr="009F66C4">
        <w:t xml:space="preserve">повышение качества предоставления </w:t>
      </w:r>
      <w:r w:rsidR="00411F84" w:rsidRPr="009F66C4">
        <w:t>муниципальных</w:t>
      </w:r>
      <w:r w:rsidRPr="009F66C4">
        <w:t xml:space="preserve"> услуг населению, предпринимател</w:t>
      </w:r>
      <w:r w:rsidR="00411F84" w:rsidRPr="009F66C4">
        <w:t>ьству и некоммерческому сектору;</w:t>
      </w:r>
    </w:p>
    <w:p w14:paraId="11FCCD08" w14:textId="65440B7B" w:rsidR="00951697" w:rsidRPr="009F66C4" w:rsidRDefault="00411F84" w:rsidP="00A93D7F">
      <w:pPr>
        <w:pStyle w:val="a0"/>
        <w:numPr>
          <w:ilvl w:val="0"/>
          <w:numId w:val="30"/>
        </w:numPr>
      </w:pPr>
      <w:r w:rsidRPr="009F66C4">
        <w:t>повышение энергоэффективности промышленных предприятий</w:t>
      </w:r>
      <w:r w:rsidR="00951697" w:rsidRPr="009F66C4">
        <w:t xml:space="preserve"> и </w:t>
      </w:r>
      <w:r w:rsidRPr="009F66C4">
        <w:t xml:space="preserve">сферы </w:t>
      </w:r>
      <w:r w:rsidR="00951697" w:rsidRPr="009F66C4">
        <w:t>ЖКХ;</w:t>
      </w:r>
    </w:p>
    <w:p w14:paraId="2A525D83" w14:textId="77777777" w:rsidR="00951697" w:rsidRPr="009F66C4" w:rsidRDefault="00951697" w:rsidP="00A93D7F">
      <w:pPr>
        <w:pStyle w:val="a0"/>
        <w:numPr>
          <w:ilvl w:val="0"/>
          <w:numId w:val="30"/>
        </w:numPr>
      </w:pPr>
      <w:r w:rsidRPr="009F66C4">
        <w:t>устойчивое гармоничное развитие промышленности в соответствии с экологическими императивами.</w:t>
      </w:r>
    </w:p>
    <w:p w14:paraId="3594BF8F" w14:textId="43DE45E8" w:rsidR="00AB2247" w:rsidRPr="009F66C4" w:rsidRDefault="00AB2247" w:rsidP="00A93D7F">
      <w:r w:rsidRPr="009F66C4">
        <w:t>Ключевыми направлениями деятельности для решения указанных задач являются:</w:t>
      </w:r>
    </w:p>
    <w:p w14:paraId="22E14A17" w14:textId="3594CA7C" w:rsidR="00CF25FF" w:rsidRPr="009F66C4" w:rsidRDefault="00CF25FF" w:rsidP="00A93D7F">
      <w:pPr>
        <w:pStyle w:val="a0"/>
        <w:numPr>
          <w:ilvl w:val="0"/>
          <w:numId w:val="31"/>
        </w:numPr>
      </w:pPr>
      <w:r w:rsidRPr="009F66C4">
        <w:t>внедрение технологий бережливого производства муниципальными органами власти посредством повышения эффективности бюджетных расходов, обучения сотрудников прин</w:t>
      </w:r>
      <w:r w:rsidR="00BC5373" w:rsidRPr="009F66C4">
        <w:t>ципам бережливого производства</w:t>
      </w:r>
      <w:r w:rsidR="00565871" w:rsidRPr="009F66C4">
        <w:t>;</w:t>
      </w:r>
    </w:p>
    <w:p w14:paraId="2B801774" w14:textId="3CAF5681" w:rsidR="00BC5373" w:rsidRPr="009F66C4" w:rsidRDefault="00BC5373" w:rsidP="00A93D7F">
      <w:pPr>
        <w:pStyle w:val="a0"/>
        <w:numPr>
          <w:ilvl w:val="0"/>
          <w:numId w:val="31"/>
        </w:numPr>
      </w:pPr>
      <w:r w:rsidRPr="009F66C4">
        <w:t>внедрение принципов и методов проектного (портфельного) управления в практике государственн</w:t>
      </w:r>
      <w:r w:rsidR="00565871" w:rsidRPr="009F66C4">
        <w:t>ого и муниципального управления;</w:t>
      </w:r>
    </w:p>
    <w:p w14:paraId="770B9B7D" w14:textId="7C978904" w:rsidR="00CF25FF" w:rsidRPr="009F66C4" w:rsidRDefault="00CF25FF" w:rsidP="00A93D7F">
      <w:pPr>
        <w:pStyle w:val="a0"/>
        <w:numPr>
          <w:ilvl w:val="0"/>
          <w:numId w:val="31"/>
        </w:numPr>
      </w:pPr>
      <w:r w:rsidRPr="009F66C4">
        <w:lastRenderedPageBreak/>
        <w:t>предоставление мер государственной поддержки и стимулирования внедрения бережливого производства в организациях всех форм собственности, в том чис</w:t>
      </w:r>
      <w:r w:rsidR="00565871" w:rsidRPr="009F66C4">
        <w:t>ле малых и средних предприятиях;</w:t>
      </w:r>
    </w:p>
    <w:p w14:paraId="72779E75" w14:textId="5B290497" w:rsidR="00BC5373" w:rsidRPr="009F66C4" w:rsidRDefault="00BC5373" w:rsidP="00A93D7F">
      <w:pPr>
        <w:pStyle w:val="a0"/>
        <w:numPr>
          <w:ilvl w:val="0"/>
          <w:numId w:val="31"/>
        </w:numPr>
      </w:pPr>
      <w:r w:rsidRPr="009F66C4">
        <w:t>повышение энергетической эффективности, надежности и качества предоставляемых жилищно-коммунальных услуг и снижение расходов и потерь энергетических ресурсов при предоставлении коммунальных услуг нас</w:t>
      </w:r>
      <w:r w:rsidR="00565871" w:rsidRPr="009F66C4">
        <w:t>е</w:t>
      </w:r>
      <w:r w:rsidRPr="009F66C4">
        <w:t>лению</w:t>
      </w:r>
      <w:r w:rsidR="00565871" w:rsidRPr="009F66C4">
        <w:t>;</w:t>
      </w:r>
    </w:p>
    <w:p w14:paraId="7AF8173A" w14:textId="2069B464" w:rsidR="00C566DD" w:rsidRPr="009F66C4" w:rsidRDefault="00C566DD" w:rsidP="00A93D7F">
      <w:pPr>
        <w:pStyle w:val="a0"/>
        <w:numPr>
          <w:ilvl w:val="0"/>
          <w:numId w:val="31"/>
        </w:numPr>
      </w:pPr>
      <w:r w:rsidRPr="009F66C4">
        <w:t>достижение баланса между уровнем промышленного производства и сохранением благоприятного состояния окружающей природной среды, обеспечение рационального природопользования и сохранности естественных экосистем и природных комплексов.</w:t>
      </w:r>
    </w:p>
    <w:p w14:paraId="56DDF749" w14:textId="4BE962CA" w:rsidR="00D212E4" w:rsidRPr="009F66C4" w:rsidRDefault="00B0462A" w:rsidP="00A93D7F">
      <w:r w:rsidRPr="009F66C4">
        <w:t>Основными мероприятиями, направленными на внедрение инициативы «Бережливое производство» на территории Нефтеюганского района, являются:</w:t>
      </w:r>
    </w:p>
    <w:p w14:paraId="02C6E6BE" w14:textId="77777777" w:rsidR="00565871" w:rsidRPr="009F66C4" w:rsidRDefault="00565871" w:rsidP="00A93D7F">
      <w:pPr>
        <w:pStyle w:val="a0"/>
        <w:numPr>
          <w:ilvl w:val="0"/>
          <w:numId w:val="32"/>
        </w:numPr>
      </w:pPr>
      <w:r w:rsidRPr="009F66C4">
        <w:t>совершенствование системы экологического образования в системе подготовки квалифицированных кадров;</w:t>
      </w:r>
    </w:p>
    <w:p w14:paraId="238EB58E" w14:textId="77777777" w:rsidR="00565871" w:rsidRPr="009F66C4" w:rsidRDefault="00565871" w:rsidP="00A93D7F">
      <w:pPr>
        <w:pStyle w:val="a0"/>
        <w:numPr>
          <w:ilvl w:val="0"/>
          <w:numId w:val="32"/>
        </w:numPr>
      </w:pPr>
      <w:r w:rsidRPr="009F66C4">
        <w:t>вовлечение студентов и молодежи к участию в проектах по внедрению бережливого производства;</w:t>
      </w:r>
    </w:p>
    <w:p w14:paraId="34D7DAB6" w14:textId="77777777" w:rsidR="00565871" w:rsidRPr="009F66C4" w:rsidRDefault="00565871" w:rsidP="00A93D7F">
      <w:pPr>
        <w:pStyle w:val="a0"/>
        <w:numPr>
          <w:ilvl w:val="0"/>
          <w:numId w:val="32"/>
        </w:numPr>
      </w:pPr>
      <w:r w:rsidRPr="009F66C4">
        <w:t>обеспечение научно-методической поддержки предприятий в области бережливого производства;</w:t>
      </w:r>
    </w:p>
    <w:p w14:paraId="57EE4598" w14:textId="767DEE58" w:rsidR="00565871" w:rsidRPr="009F66C4" w:rsidRDefault="00565871" w:rsidP="00A93D7F">
      <w:pPr>
        <w:pStyle w:val="a0"/>
        <w:numPr>
          <w:ilvl w:val="0"/>
          <w:numId w:val="32"/>
        </w:numPr>
      </w:pPr>
      <w:r w:rsidRPr="009F66C4">
        <w:t>развитие современной промышленной и инновационной инфраструктуры (</w:t>
      </w:r>
      <w:r w:rsidR="0001493B" w:rsidRPr="009F66C4">
        <w:t>инвестиционных и промышленных площадок</w:t>
      </w:r>
      <w:r w:rsidRPr="009F66C4">
        <w:t>);</w:t>
      </w:r>
    </w:p>
    <w:p w14:paraId="6AF0AB03" w14:textId="455FEADD" w:rsidR="00565871" w:rsidRPr="009F66C4" w:rsidRDefault="00565871" w:rsidP="00A93D7F">
      <w:pPr>
        <w:pStyle w:val="a0"/>
        <w:numPr>
          <w:ilvl w:val="0"/>
          <w:numId w:val="32"/>
        </w:numPr>
      </w:pPr>
      <w:r w:rsidRPr="009F66C4">
        <w:t>мониторинг и оценка эффективности внедрения бережливого производства на предприятиях муниципального сектора экономики;</w:t>
      </w:r>
    </w:p>
    <w:p w14:paraId="1628E7E4" w14:textId="645C28BE" w:rsidR="00834E59" w:rsidRPr="009F66C4" w:rsidRDefault="00834E59" w:rsidP="00A93D7F">
      <w:pPr>
        <w:pStyle w:val="a0"/>
        <w:numPr>
          <w:ilvl w:val="0"/>
          <w:numId w:val="32"/>
        </w:numPr>
      </w:pPr>
      <w:r w:rsidRPr="009F66C4">
        <w:t>внедрение информационно-телекоммуникационных технологий во все сферы деятельности (образование, здравоохранение, ЖКХ, транспорт);</w:t>
      </w:r>
    </w:p>
    <w:p w14:paraId="47DDB49C" w14:textId="6F5EF26B" w:rsidR="009F66C4" w:rsidRPr="009F66C4" w:rsidRDefault="009F66C4" w:rsidP="00A93D7F">
      <w:pPr>
        <w:pStyle w:val="a0"/>
        <w:numPr>
          <w:ilvl w:val="0"/>
          <w:numId w:val="32"/>
        </w:numPr>
      </w:pPr>
      <w:r w:rsidRPr="009F66C4">
        <w:t>введение системы формирования целевых установок повышения энергоэффективности, системы мониторинга выполнения целевых соглашений по повышению энергоэффективности;</w:t>
      </w:r>
    </w:p>
    <w:p w14:paraId="5A6A659E" w14:textId="77777777" w:rsidR="009F66C4" w:rsidRPr="009F66C4" w:rsidRDefault="009F66C4" w:rsidP="00A93D7F">
      <w:pPr>
        <w:pStyle w:val="a0"/>
        <w:numPr>
          <w:ilvl w:val="0"/>
          <w:numId w:val="32"/>
        </w:numPr>
      </w:pPr>
      <w:r w:rsidRPr="009F66C4">
        <w:t>модернизация существующих котельных и котельного оборудования;</w:t>
      </w:r>
    </w:p>
    <w:p w14:paraId="3EC950BD" w14:textId="77777777" w:rsidR="009F66C4" w:rsidRPr="009F66C4" w:rsidRDefault="009F66C4" w:rsidP="00A93D7F">
      <w:pPr>
        <w:pStyle w:val="a0"/>
        <w:numPr>
          <w:ilvl w:val="0"/>
          <w:numId w:val="32"/>
        </w:numPr>
      </w:pPr>
      <w:r w:rsidRPr="009F66C4">
        <w:t>реконструкция и капитальный ремонт тепловых сетей, сетей горячего и холодного водоснабжения, газопроводов, канализационных сетей, включая замену ветхих инженерных сетей;</w:t>
      </w:r>
    </w:p>
    <w:p w14:paraId="4C2B438B" w14:textId="77777777" w:rsidR="009F66C4" w:rsidRPr="009F66C4" w:rsidRDefault="009F66C4" w:rsidP="00A93D7F">
      <w:pPr>
        <w:pStyle w:val="a0"/>
        <w:numPr>
          <w:ilvl w:val="0"/>
          <w:numId w:val="32"/>
        </w:numPr>
      </w:pPr>
      <w:r w:rsidRPr="009F66C4">
        <w:t>применение нового оборудования, материалов, новейших разработок и технологий при строительстве и реконструкции инженерных сетей.</w:t>
      </w:r>
    </w:p>
    <w:p w14:paraId="2886E776" w14:textId="1CEF9251" w:rsidR="009F66C4" w:rsidRPr="009F66C4" w:rsidRDefault="009F66C4" w:rsidP="00A93D7F">
      <w:r w:rsidRPr="009F66C4">
        <w:t>Ожидаемыми результатами от внедрения и реализации технологии бережливого производства на период до 2030 года являются рост производительности труда и сокращение времени производственного цикла, рост качества продукции, высвобождение производственных площадей, повышение удовлетворенности потребителей, собственников и других заинтересованных сторон качеством выполненных работ и услуг, а также повышение эффективности производственных, управленческих и бизнес-процессов.</w:t>
      </w:r>
    </w:p>
    <w:p w14:paraId="4F93BEAB" w14:textId="77777777" w:rsidR="007E1C42" w:rsidRPr="00EB44D0" w:rsidRDefault="007E1C42" w:rsidP="00A93D7F"/>
    <w:p w14:paraId="0F60AA58" w14:textId="04ADDF4C" w:rsidR="002472BC" w:rsidRDefault="002472BC" w:rsidP="00A93D7F">
      <w:pPr>
        <w:pStyle w:val="2"/>
      </w:pPr>
      <w:bookmarkStart w:id="42" w:name="_Toc503913880"/>
      <w:bookmarkStart w:id="43" w:name="_Toc504055120"/>
      <w:r w:rsidRPr="00EB44D0">
        <w:t>Гражданское общество</w:t>
      </w:r>
      <w:bookmarkEnd w:id="42"/>
      <w:bookmarkEnd w:id="43"/>
    </w:p>
    <w:p w14:paraId="7AB64C4F" w14:textId="77777777" w:rsidR="007D7364" w:rsidRDefault="007D7364" w:rsidP="00A93D7F"/>
    <w:p w14:paraId="5237C9E4" w14:textId="35F9D744" w:rsidR="007D7364" w:rsidRPr="000D6AB6" w:rsidRDefault="007D7364" w:rsidP="00A93D7F">
      <w:r w:rsidRPr="000D6AB6">
        <w:t xml:space="preserve">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бизнес-структурами. Все институты гражданского общества в совокупности выполняют важную роль в создании системы социальной взаимопомощи, построенной на принципах солидарности и самостоятельности ее участников, в решении социальных проблем, </w:t>
      </w:r>
      <w:r w:rsidRPr="000D6AB6">
        <w:lastRenderedPageBreak/>
        <w:t xml:space="preserve">повышении качества жизни населения автономного округа и расширении возможностей для их самореализации. </w:t>
      </w:r>
    </w:p>
    <w:p w14:paraId="6087659F" w14:textId="0984997F" w:rsidR="009731D9" w:rsidRPr="000D6AB6" w:rsidRDefault="009731D9" w:rsidP="00A93D7F">
      <w:r w:rsidRPr="000D6AB6">
        <w:t>Часть институтов гражданского общества представлена некоммерческими организациями: это территориальное общественное самоуправление; молодежные, женские, ветеранские, патриотические организации; НКО, деятельность которых направлена на защиту окружающей среды и животных, пропаганду спорта и здорового образа жизни, охрану объектов и территорий, имеющих историческое, культовое, культурное или природоохранное значение, развитие культуры коренных малочисленных народов Севера и других народов России, поддержку социально незащищенных категорий граждан. Особое значение имеют социально ориентированные НКО – некоммерческие о</w:t>
      </w:r>
      <w:r w:rsidR="00790B8B">
        <w:t xml:space="preserve">рганизации, созданные в формах </w:t>
      </w:r>
      <w:r w:rsidRPr="000D6AB6">
        <w:t xml:space="preserve">и осуществляющие виды деятельности в соответствии с Федеральным законом «О некоммерческих организациях». </w:t>
      </w:r>
    </w:p>
    <w:p w14:paraId="7E14016B" w14:textId="3E181728" w:rsidR="009731D9" w:rsidRPr="000D6AB6" w:rsidRDefault="009731D9" w:rsidP="00A93D7F">
      <w:r w:rsidRPr="000D6AB6">
        <w:t xml:space="preserve">Часть гражданского общества объединяется в коллективы, созданные для решения конкретной проблемы (родительские комитеты в учебных заведениях, движения городских активистов, интернет-блогеров и др.) через социальные сети. </w:t>
      </w:r>
    </w:p>
    <w:p w14:paraId="34FD30A4" w14:textId="3CAB1B8C" w:rsidR="007D7364" w:rsidRPr="000D6AB6" w:rsidRDefault="007D7364" w:rsidP="00A93D7F">
      <w:r w:rsidRPr="000D6AB6">
        <w:t xml:space="preserve">Целью стратегического развития гражданского общества </w:t>
      </w:r>
      <w:r w:rsidR="00605698" w:rsidRPr="000D6AB6">
        <w:t xml:space="preserve">на территории Нефтеюганского района </w:t>
      </w:r>
      <w:r w:rsidRPr="000D6AB6">
        <w:t>является выработка комплексной системы вовлечения институтов гражданского общества в решении актуальных задач социально-экономического развития, во взаимодействии с органами государственной и муниципальной власти и организациями коммерческого сектора.</w:t>
      </w:r>
      <w:r w:rsidR="00544199" w:rsidRPr="000D6AB6">
        <w:t xml:space="preserve"> </w:t>
      </w:r>
      <w:r w:rsidRPr="000D6AB6">
        <w:t>Достижение стратегической цели возможно путем реализации следующих направлений:</w:t>
      </w:r>
    </w:p>
    <w:p w14:paraId="582D6104" w14:textId="097315CD" w:rsidR="00A54084" w:rsidRPr="000D6AB6" w:rsidRDefault="00A54084" w:rsidP="00A93D7F">
      <w:pPr>
        <w:pStyle w:val="a0"/>
        <w:numPr>
          <w:ilvl w:val="0"/>
          <w:numId w:val="34"/>
        </w:numPr>
      </w:pPr>
      <w:r w:rsidRPr="000D6AB6">
        <w:t>повышение роли институтов гражданского общества в решении социально значимых проблем, особенно в сфере социального развития, поддержки социально незащищенных групп населения и др.;</w:t>
      </w:r>
    </w:p>
    <w:p w14:paraId="29E36898" w14:textId="38BA1411" w:rsidR="00844EC2" w:rsidRPr="000D6AB6" w:rsidRDefault="00844EC2" w:rsidP="00A93D7F">
      <w:pPr>
        <w:pStyle w:val="a0"/>
        <w:numPr>
          <w:ilvl w:val="0"/>
          <w:numId w:val="34"/>
        </w:numPr>
      </w:pPr>
      <w:r w:rsidRPr="000D6AB6">
        <w:t>расширение опыта взаимодействия органов государственной власти с НКО и неформализованными институтами гражданского общества;</w:t>
      </w:r>
    </w:p>
    <w:p w14:paraId="181C3A36" w14:textId="5205696B" w:rsidR="008C0D84" w:rsidRPr="008C0D84" w:rsidRDefault="00394B37" w:rsidP="00A93D7F">
      <w:pPr>
        <w:pStyle w:val="a0"/>
        <w:numPr>
          <w:ilvl w:val="0"/>
          <w:numId w:val="34"/>
        </w:numPr>
      </w:pPr>
      <w:r w:rsidRPr="000D6AB6">
        <w:t xml:space="preserve">координация деятельности локальных сообществ (в том числе интернет-сообществ) и их лидеров, тиражирование лучших практик гражданского участия в принятии управленческих решений и реализации общественных </w:t>
      </w:r>
      <w:r w:rsidRPr="008C0D84">
        <w:t>инициатив;</w:t>
      </w:r>
    </w:p>
    <w:p w14:paraId="5964C1FE" w14:textId="697E04EC" w:rsidR="00A54084" w:rsidRPr="008C0D84" w:rsidRDefault="00A54084" w:rsidP="00A93D7F">
      <w:pPr>
        <w:pStyle w:val="a0"/>
        <w:numPr>
          <w:ilvl w:val="0"/>
          <w:numId w:val="34"/>
        </w:numPr>
      </w:pPr>
      <w:r w:rsidRPr="008C0D84">
        <w:t>реализация проектов в социальной сфере с использованием механизмов государственно-частного партнерства</w:t>
      </w:r>
      <w:r w:rsidR="00927E65" w:rsidRPr="008C0D84">
        <w:t>;</w:t>
      </w:r>
    </w:p>
    <w:p w14:paraId="34AA1F77" w14:textId="6F8A3A63" w:rsidR="008C0D84" w:rsidRPr="008C0D84" w:rsidRDefault="008C0D84" w:rsidP="00A93D7F">
      <w:pPr>
        <w:pStyle w:val="a0"/>
        <w:numPr>
          <w:ilvl w:val="0"/>
          <w:numId w:val="34"/>
        </w:numPr>
      </w:pPr>
      <w:r w:rsidRPr="008C0D84">
        <w:t>формирование системы софинансирования инициатив (инициативное бюджетирование) как пилотного проекта;</w:t>
      </w:r>
    </w:p>
    <w:p w14:paraId="1FC8E527" w14:textId="5FCAB8B5" w:rsidR="00875FC4" w:rsidRPr="008C0D84" w:rsidRDefault="00875FC4" w:rsidP="00A93D7F">
      <w:pPr>
        <w:pStyle w:val="a0"/>
        <w:numPr>
          <w:ilvl w:val="0"/>
          <w:numId w:val="34"/>
        </w:numPr>
      </w:pPr>
      <w:r w:rsidRPr="008C0D84">
        <w:t>накопление опыта взаимодействия институтов гражданского общества с крупным бизнесом, в том числе с вертикально интегрированными компаниями, в сфере охраны окружающей среды;</w:t>
      </w:r>
    </w:p>
    <w:p w14:paraId="703FE428" w14:textId="2EB1790F" w:rsidR="007D7364" w:rsidRPr="008C0D84" w:rsidRDefault="007D7364" w:rsidP="00A93D7F">
      <w:pPr>
        <w:pStyle w:val="a0"/>
        <w:numPr>
          <w:ilvl w:val="0"/>
          <w:numId w:val="34"/>
        </w:numPr>
      </w:pPr>
      <w:r w:rsidRPr="008C0D84">
        <w:t xml:space="preserve">повышение эффективности деятельности НКО и развитие НКО, оказывающих услуги населению автономного округа </w:t>
      </w:r>
      <w:r w:rsidR="00927E65" w:rsidRPr="008C0D84">
        <w:t>в социальной сфере;</w:t>
      </w:r>
    </w:p>
    <w:p w14:paraId="5E20D7E7" w14:textId="0B978A13" w:rsidR="007D7364" w:rsidRPr="000D6AB6" w:rsidRDefault="007D7364" w:rsidP="00A93D7F">
      <w:pPr>
        <w:pStyle w:val="a0"/>
        <w:numPr>
          <w:ilvl w:val="0"/>
          <w:numId w:val="34"/>
        </w:numPr>
      </w:pPr>
      <w:r w:rsidRPr="008C0D84">
        <w:t>обеспечение открытости государственного и муниципального управления для повышения</w:t>
      </w:r>
      <w:r w:rsidRPr="000D6AB6">
        <w:t xml:space="preserve"> качества принимаемых решений</w:t>
      </w:r>
      <w:r w:rsidR="00927E65" w:rsidRPr="000D6AB6">
        <w:t xml:space="preserve"> и достижения баланса интересов;</w:t>
      </w:r>
    </w:p>
    <w:p w14:paraId="4D707B39" w14:textId="7B181119" w:rsidR="00927E65" w:rsidRPr="000D6AB6" w:rsidRDefault="00927E65" w:rsidP="00A93D7F">
      <w:pPr>
        <w:pStyle w:val="a0"/>
        <w:numPr>
          <w:ilvl w:val="0"/>
          <w:numId w:val="34"/>
        </w:numPr>
      </w:pPr>
      <w:r w:rsidRPr="000D6AB6">
        <w:t>развитие добровольческих (волонтерских) движений, в которые вовлечены жители разного возраста</w:t>
      </w:r>
      <w:r w:rsidR="00844EC2" w:rsidRPr="000D6AB6">
        <w:t>, в том числе, движения «серебряных волонтеров»;</w:t>
      </w:r>
    </w:p>
    <w:p w14:paraId="3E9A62A4" w14:textId="7A413E13" w:rsidR="007D7364" w:rsidRPr="00EB29AD" w:rsidRDefault="00880957" w:rsidP="00A93D7F">
      <w:pPr>
        <w:pStyle w:val="a0"/>
        <w:numPr>
          <w:ilvl w:val="0"/>
          <w:numId w:val="34"/>
        </w:numPr>
      </w:pPr>
      <w:r w:rsidRPr="000D6AB6">
        <w:t>обеспечение информационной поддержки институтов гражданского общества, активное использование массовой информации и информационно-</w:t>
      </w:r>
      <w:r w:rsidRPr="00EB29AD">
        <w:t>телекоммуникационной сети Интернет</w:t>
      </w:r>
      <w:r w:rsidR="00842EA4" w:rsidRPr="00EB29AD">
        <w:t xml:space="preserve"> в качестве каналов распространения новостей и обратной связи между гражданами и государством.</w:t>
      </w:r>
    </w:p>
    <w:p w14:paraId="1C829B01" w14:textId="79A55381" w:rsidR="00EB29AD" w:rsidRPr="007D7364" w:rsidRDefault="00EB29AD" w:rsidP="00A93D7F">
      <w:r w:rsidRPr="00EB29AD">
        <w:lastRenderedPageBreak/>
        <w:t>Ключевой предпосылкой развития гражданского общества на территории Нефтеюганского района является обеспечение открытости муниципального управления для повышения качества принимаемых решений и достижения баланса интересов. Должно быть обеспечено максимальное раскрытие информации о деятельности органов муниципальной власти, создание эффективной системы обратной связи между населением района и муниципальными органами власти, вовлечение в принятие, реализацию и контроль управленческих решений гражданских активистов, общественных объединений и представителей бизнес-сообщества.</w:t>
      </w:r>
    </w:p>
    <w:p w14:paraId="7394E37B" w14:textId="77777777" w:rsidR="00EB44D0" w:rsidRPr="00EB44D0" w:rsidRDefault="00EB44D0" w:rsidP="00A93D7F"/>
    <w:p w14:paraId="1829AA0C" w14:textId="1268E401" w:rsidR="007F427D" w:rsidRDefault="00EB44D0" w:rsidP="00A93D7F">
      <w:pPr>
        <w:pStyle w:val="2"/>
      </w:pPr>
      <w:bookmarkStart w:id="44" w:name="_Toc503913881"/>
      <w:bookmarkStart w:id="45" w:name="_Toc504055121"/>
      <w:r w:rsidRPr="00EB44D0">
        <w:t>Организационные механизмы (проектное управление)</w:t>
      </w:r>
      <w:bookmarkEnd w:id="44"/>
      <w:bookmarkEnd w:id="45"/>
    </w:p>
    <w:p w14:paraId="1C023112" w14:textId="77777777" w:rsidR="00BD2E9E" w:rsidRDefault="00BD2E9E" w:rsidP="00A93D7F"/>
    <w:p w14:paraId="451AE0EC" w14:textId="77777777" w:rsidR="00FF3FFB" w:rsidRPr="00CB7741" w:rsidRDefault="00FF3FFB" w:rsidP="00A93D7F">
      <w:r w:rsidRPr="00CB7741">
        <w:t>Мониторинг и контроль реализации Стратегии осуществляется в соответствии с постановлением администрации Нефтеюганского района от 23.01.2017 № 77-па-нпа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Нефтеюганский район». Система управления реализацией Стратегии включает в себя:</w:t>
      </w:r>
    </w:p>
    <w:p w14:paraId="33338E49" w14:textId="77777777" w:rsidR="00FF3FFB" w:rsidRPr="00CB7741" w:rsidRDefault="00FF3FFB" w:rsidP="00A93D7F">
      <w:pPr>
        <w:pStyle w:val="a0"/>
        <w:numPr>
          <w:ilvl w:val="0"/>
          <w:numId w:val="25"/>
        </w:numPr>
      </w:pPr>
      <w:r w:rsidRPr="00CB7741">
        <w:t>координацию деятельности участников процесса разработки, мониторинга и контроля реализации Стратегии;</w:t>
      </w:r>
    </w:p>
    <w:p w14:paraId="5BE6441C" w14:textId="77777777" w:rsidR="00FF3FFB" w:rsidRPr="00CB7741" w:rsidRDefault="00FF3FFB" w:rsidP="00A93D7F">
      <w:pPr>
        <w:pStyle w:val="a0"/>
        <w:numPr>
          <w:ilvl w:val="0"/>
          <w:numId w:val="25"/>
        </w:numPr>
      </w:pPr>
      <w:r w:rsidRPr="00CB7741">
        <w:t>определение ответственных за достижение целевых индикаторов;</w:t>
      </w:r>
    </w:p>
    <w:p w14:paraId="2BCFCBDA" w14:textId="77777777" w:rsidR="00FF3FFB" w:rsidRPr="00CB7741" w:rsidRDefault="00FF3FFB" w:rsidP="00A93D7F">
      <w:pPr>
        <w:pStyle w:val="a0"/>
        <w:numPr>
          <w:ilvl w:val="0"/>
          <w:numId w:val="25"/>
        </w:numPr>
      </w:pPr>
      <w:r w:rsidRPr="00CB7741">
        <w:t>систему мониторинга и контроля реализации Стратегии;</w:t>
      </w:r>
    </w:p>
    <w:p w14:paraId="5DCC3054" w14:textId="77777777" w:rsidR="00FF3FFB" w:rsidRPr="00CB7741" w:rsidRDefault="00FF3FFB" w:rsidP="00A93D7F">
      <w:pPr>
        <w:pStyle w:val="a0"/>
        <w:numPr>
          <w:ilvl w:val="0"/>
          <w:numId w:val="25"/>
        </w:numPr>
      </w:pPr>
      <w:r w:rsidRPr="00CB7741">
        <w:t>порядок актуализации Стратегии.</w:t>
      </w:r>
    </w:p>
    <w:p w14:paraId="7D66E0F3" w14:textId="77777777" w:rsidR="00FF3FFB" w:rsidRPr="00CB7741" w:rsidRDefault="00FF3FFB" w:rsidP="00A93D7F">
      <w:pPr>
        <w:rPr>
          <w:rFonts w:eastAsia="Times New Roman"/>
          <w:bCs/>
          <w:color w:val="000000"/>
        </w:rPr>
      </w:pPr>
      <w:r w:rsidRPr="00CB7741">
        <w:t xml:space="preserve">Организация процесса разработки, мониторинга и контроля реализации Стратегии в Нефтеюганском районе осуществляется посредством заседаний </w:t>
      </w:r>
      <w:r w:rsidRPr="00CB7741">
        <w:rPr>
          <w:color w:val="000000"/>
        </w:rPr>
        <w:t xml:space="preserve">межведомственной комиссии по разработке, мониторингу и контролю реализации Стратегии социально-экономического развития Нефтеюганского района (далее – Межведомственная комиссия) в соответствии с утвержденными </w:t>
      </w:r>
      <w:r w:rsidRPr="00CB7741">
        <w:t xml:space="preserve">порядком </w:t>
      </w:r>
      <w:r w:rsidRPr="00CB7741">
        <w:rPr>
          <w:color w:val="000000"/>
        </w:rPr>
        <w:t xml:space="preserve">разработки Стратегии и </w:t>
      </w:r>
      <w:r w:rsidRPr="00CB7741">
        <w:rPr>
          <w:rFonts w:eastAsia="Times New Roman"/>
          <w:color w:val="000000"/>
        </w:rPr>
        <w:t xml:space="preserve">положением </w:t>
      </w:r>
      <w:r w:rsidRPr="00CB7741">
        <w:t xml:space="preserve">о </w:t>
      </w:r>
      <w:r w:rsidRPr="00CB7741">
        <w:rPr>
          <w:rFonts w:eastAsia="Times New Roman"/>
          <w:bCs/>
          <w:color w:val="000000"/>
        </w:rPr>
        <w:t>Межведомственной комиссии.</w:t>
      </w:r>
    </w:p>
    <w:p w14:paraId="6ED0D3B1" w14:textId="77777777" w:rsidR="00FF3FFB" w:rsidRPr="00CB7741" w:rsidRDefault="00FF3FFB" w:rsidP="00A93D7F">
      <w:r w:rsidRPr="00CB7741">
        <w:t>Общую координационную деятельность участников процесса разработки, мониторинга и контроля реализации Стратегии осуществляет комитет по экономической политике и предпринимательству администрации Нефтеюганского района.</w:t>
      </w:r>
    </w:p>
    <w:p w14:paraId="5C563299" w14:textId="25540825" w:rsidR="00FF3FFB" w:rsidRPr="00CB7741" w:rsidRDefault="000F07FE" w:rsidP="00A93D7F">
      <w:r w:rsidRPr="00CB7741">
        <w:t xml:space="preserve">Система мониторинга включает установленные целевые показатели эффективности и результативности реализации, а также ежегодный доклад о ходе реализации Стратегии, в котором отражаются достигнутые результаты, их соответствие намеченным целям и целевым показателям, а также фактическое исполнение мероприятий в соответствии с планом. </w:t>
      </w:r>
      <w:r w:rsidR="00FF3FFB" w:rsidRPr="00CB7741">
        <w:t xml:space="preserve">В разделе «Система показателей (индикаторов) социально-экономического развития по выбранному сценарию» Стратегии указаны органы государственной исполнительной власти и структурные подразделения администрации Нефтеюганского района, ответственные за мониторинг целевых показателей и реализацию основных мероприятий по их достижению. Кроме этого, ответственные за достижение целевых индикаторов и основных мероприятий по их реализации могут устанавливаться с учетом функциональной (отраслевой) принадлежности, полномочий и функций, определенных нормативно-распорядительными документами. </w:t>
      </w:r>
    </w:p>
    <w:p w14:paraId="71DFF6D0" w14:textId="4FF63304" w:rsidR="00FF3FFB" w:rsidRPr="00CB7741" w:rsidRDefault="00C43892" w:rsidP="00A93D7F">
      <w:r w:rsidRPr="00CB7741">
        <w:t xml:space="preserve">Организация реализации Стратегии будет осуществляться через план мероприятий по ее реализации. </w:t>
      </w:r>
      <w:r w:rsidR="00FF3FFB" w:rsidRPr="00CB7741">
        <w:t xml:space="preserve">В сроки, установленные планом мероприятия по реализации Стратегии, отраслевые органы, ответственные за мониторинг и достижение целевых показателей, а также реализацию основных мероприятий формируют и направляют в комитет по экономической политике и предпринимательству администрации Нефтеюганского района отчет о выполненных мероприятиях (достигнутых показателях) и предложения по корректировке и уточнению целевых показателей и мероприятий. </w:t>
      </w:r>
    </w:p>
    <w:p w14:paraId="380C8498" w14:textId="77777777" w:rsidR="00FF3FFB" w:rsidRPr="00CB7741" w:rsidRDefault="00FF3FFB" w:rsidP="00A93D7F">
      <w:r w:rsidRPr="00CB7741">
        <w:lastRenderedPageBreak/>
        <w:t>По решению Межведомственной комиссии ответственные за достижение целевых индикаторов и основных мероприятий по их реализации обеспечивают актуализацию целей, индикаторов и основных мероприятий с учетом изменившихся внешних условий, и результатов достижения целевых значений индикаторов за прошедший период. Актуализация должна проводиться в случае значимых изменений в федеральные и окружные нормативно-правовые акты, а также других факторов, оказывающих существенное влияние на развитие района.</w:t>
      </w:r>
    </w:p>
    <w:p w14:paraId="17D091D9" w14:textId="0D9A76DB" w:rsidR="00532113" w:rsidRPr="00CB7741" w:rsidRDefault="00532113" w:rsidP="00A93D7F">
      <w:r w:rsidRPr="00CB7741">
        <w:t xml:space="preserve">Составной частью механизма реализации Стратегии являются </w:t>
      </w:r>
      <w:r w:rsidR="00CB7741" w:rsidRPr="00CB7741">
        <w:t>муниципальные</w:t>
      </w:r>
      <w:r w:rsidRPr="00CB7741">
        <w:t xml:space="preserve"> программы </w:t>
      </w:r>
      <w:r w:rsidR="00CB7741" w:rsidRPr="00CB7741">
        <w:t xml:space="preserve">Нефтеюганского района, при этом определение приоритетных проектов и их финансирование будет осуществляться в соответствии с приоритетными направлениями, определенными в Стратегии, и планом мероприятий по реализации Стратегии. </w:t>
      </w:r>
    </w:p>
    <w:p w14:paraId="31E7DAF3" w14:textId="77777777" w:rsidR="00EB44D0" w:rsidRPr="00EB44D0" w:rsidRDefault="00EB44D0" w:rsidP="00A93D7F"/>
    <w:p w14:paraId="297F1279" w14:textId="77777777" w:rsidR="002472BC" w:rsidRDefault="002472BC" w:rsidP="00A93D7F">
      <w:pPr>
        <w:pStyle w:val="2"/>
      </w:pPr>
      <w:bookmarkStart w:id="46" w:name="_Toc503913882"/>
      <w:bookmarkStart w:id="47" w:name="_Toc504055122"/>
      <w:r w:rsidRPr="00EB44D0">
        <w:t>Инвестиционные механизмы (инвестиционная стратегия)</w:t>
      </w:r>
      <w:bookmarkEnd w:id="46"/>
      <w:bookmarkEnd w:id="47"/>
    </w:p>
    <w:p w14:paraId="50787FEC" w14:textId="77777777" w:rsidR="004770D2" w:rsidRDefault="004770D2" w:rsidP="00A93D7F"/>
    <w:p w14:paraId="144F5DD4" w14:textId="02358342" w:rsidR="004B28A6" w:rsidRPr="003451AF" w:rsidRDefault="004B28A6" w:rsidP="004B28A6">
      <w:pPr>
        <w:pStyle w:val="Default"/>
        <w:ind w:firstLine="709"/>
        <w:jc w:val="both"/>
      </w:pPr>
      <w:r w:rsidRPr="003451AF">
        <w:t>Активизация инвестиционной среды Нефтеюганского района станет одним из условий, обеспечивающих инновационное развитие, в связи с этим формирование привлекательной для инвесторов инвестиционной среды будет одним из основных направлений деятельности органов местного самоуправления Нефтеюганского района.</w:t>
      </w:r>
    </w:p>
    <w:p w14:paraId="47A5E7BF" w14:textId="7253D3F7" w:rsidR="004B28A6" w:rsidRPr="003451AF" w:rsidRDefault="004B28A6" w:rsidP="004B28A6">
      <w:pPr>
        <w:pStyle w:val="Default"/>
        <w:ind w:firstLine="709"/>
        <w:jc w:val="both"/>
      </w:pPr>
      <w:r w:rsidRPr="003451AF">
        <w:t>Стратегия района направлена на повышение инвестиционной привлекательности, формирование благоприятных условий для развития новых видов производств, расширение источников инвестирования (в том числе, на условиях муниципально-частного партнерства).</w:t>
      </w:r>
    </w:p>
    <w:p w14:paraId="144673DB" w14:textId="76D7AF16" w:rsidR="003C2D6C" w:rsidRPr="009C582C" w:rsidRDefault="004770D2" w:rsidP="00A93D7F">
      <w:r w:rsidRPr="003451AF">
        <w:t>Наиболее значительный объем инвестиционных вложений в инвестиционные проекты, реализация которых планируется в период до 2030 года, связан с</w:t>
      </w:r>
      <w:r w:rsidR="003C2D6C" w:rsidRPr="003451AF">
        <w:t xml:space="preserve"> развитием нефте</w:t>
      </w:r>
      <w:r w:rsidRPr="003451AF">
        <w:t>добычи, нефтегазопереработки, транспортировки углеводородов. Вместе с тем, с учетом ограниченности перспектив долгосрочного устойчивого и динамичного развития на базе моноспециализированной экономики в Югре определены инвестиционные приори</w:t>
      </w:r>
      <w:r w:rsidRPr="009C582C">
        <w:t>теты в не связанных с нефтегазовым комплексом отраслях и видах деятельности, которые призваны способствовать диверсификации экономики, локализации и развитию новых производств, внедрению передовых технологий опережающего развития и инноваций.</w:t>
      </w:r>
      <w:r w:rsidR="003C2D6C" w:rsidRPr="009C582C">
        <w:t xml:space="preserve"> Инфраструктурные инвестиции от нефтегазовых доходов призваны стать платформой для последующих частных инвестиций в производственные проекты и проекты сектора услуг. Дополняющий характер государственных и частных инвестиций должен стать гарантом для запуска новых перспективных проектов. </w:t>
      </w:r>
    </w:p>
    <w:p w14:paraId="05D427DC" w14:textId="77777777" w:rsidR="007A6EFB" w:rsidRPr="009C582C" w:rsidRDefault="00E150C0" w:rsidP="00A93D7F">
      <w:r w:rsidRPr="009C582C">
        <w:t>Повышение инвестиционной привлекательности Нефтеюганского района будет достигаться в рамках внедрения Национальной предпринимательской инициативы (НПИ). Основной задачей НПИ является снижение административных барьеров</w:t>
      </w:r>
      <w:r w:rsidR="00232CD0" w:rsidRPr="009C582C">
        <w:t xml:space="preserve"> для предпринимателей и проведение</w:t>
      </w:r>
      <w:r w:rsidRPr="009C582C">
        <w:t xml:space="preserve"> </w:t>
      </w:r>
      <w:r w:rsidR="00232CD0" w:rsidRPr="009C582C">
        <w:t xml:space="preserve">реформ, направленных на упрощение, удешевление и </w:t>
      </w:r>
      <w:r w:rsidRPr="009C582C">
        <w:t>уско</w:t>
      </w:r>
      <w:r w:rsidR="00F64932" w:rsidRPr="009C582C">
        <w:t xml:space="preserve">рение государственных процедур. </w:t>
      </w:r>
    </w:p>
    <w:p w14:paraId="1F262DE7" w14:textId="41E3AEC0" w:rsidR="00F64932" w:rsidRPr="009C582C" w:rsidRDefault="007A6EFB" w:rsidP="00A93D7F">
      <w:r w:rsidRPr="009C582C">
        <w:t>В рамках НПИ ц</w:t>
      </w:r>
      <w:r w:rsidR="00F64932" w:rsidRPr="009C582C">
        <w:t xml:space="preserve">елевые показатели улучшения инвестиционного климата в районе формируются в соответствии с </w:t>
      </w:r>
      <w:r w:rsidR="001F75AA" w:rsidRPr="009C582C">
        <w:t xml:space="preserve">целевыми моделями упрощения процедур ведения бизнеса и повышения инвестиционной привлекательности субъектов Российской Федерации, утвержденными </w:t>
      </w:r>
      <w:r w:rsidR="00F64932" w:rsidRPr="009C582C">
        <w:t>распоряжением Правительства Российской Федерации от 31 января 2017 года № 147-р.</w:t>
      </w:r>
      <w:r w:rsidRPr="009C582C">
        <w:t xml:space="preserve"> </w:t>
      </w:r>
      <w:r w:rsidR="00F64932" w:rsidRPr="009C582C">
        <w:t>Правительством Российской Федерации определены следующие целевые модели:</w:t>
      </w:r>
    </w:p>
    <w:p w14:paraId="16BBBA48" w14:textId="4D3396A2" w:rsidR="00F64932" w:rsidRPr="009C582C" w:rsidRDefault="00D04D5D" w:rsidP="00A93D7F">
      <w:pPr>
        <w:pStyle w:val="a0"/>
        <w:numPr>
          <w:ilvl w:val="0"/>
          <w:numId w:val="33"/>
        </w:numPr>
      </w:pPr>
      <w:r w:rsidRPr="009C582C">
        <w:t>п</w:t>
      </w:r>
      <w:r w:rsidR="00F64932" w:rsidRPr="009C582C">
        <w:t>олучение разрешения на строительство</w:t>
      </w:r>
      <w:r w:rsidRPr="009C582C">
        <w:t xml:space="preserve"> и территориальное планирование;</w:t>
      </w:r>
    </w:p>
    <w:p w14:paraId="3AE61AF2" w14:textId="546CFF24" w:rsidR="00F64932" w:rsidRPr="009C582C" w:rsidRDefault="00D04D5D" w:rsidP="00A93D7F">
      <w:pPr>
        <w:pStyle w:val="a0"/>
        <w:numPr>
          <w:ilvl w:val="0"/>
          <w:numId w:val="33"/>
        </w:numPr>
      </w:pPr>
      <w:r w:rsidRPr="009C582C">
        <w:t>р</w:t>
      </w:r>
      <w:r w:rsidR="00F64932" w:rsidRPr="009C582C">
        <w:t xml:space="preserve">егистрация права собственности на земельные участки </w:t>
      </w:r>
      <w:r w:rsidRPr="009C582C">
        <w:t>и объекты недвижимого имущества;</w:t>
      </w:r>
    </w:p>
    <w:p w14:paraId="28A497FF" w14:textId="60B688CD" w:rsidR="00F64932" w:rsidRPr="009C582C" w:rsidRDefault="00D04D5D" w:rsidP="00A93D7F">
      <w:pPr>
        <w:pStyle w:val="a0"/>
        <w:numPr>
          <w:ilvl w:val="0"/>
          <w:numId w:val="33"/>
        </w:numPr>
      </w:pPr>
      <w:r w:rsidRPr="009C582C">
        <w:t>п</w:t>
      </w:r>
      <w:r w:rsidR="00F64932" w:rsidRPr="009C582C">
        <w:t>остановка на кадастровый учет земельных участков и</w:t>
      </w:r>
      <w:r w:rsidRPr="009C582C">
        <w:t xml:space="preserve"> объектов недвижимого имущества;</w:t>
      </w:r>
    </w:p>
    <w:p w14:paraId="256B6862" w14:textId="4B85135C" w:rsidR="00F64932" w:rsidRPr="009C582C" w:rsidRDefault="00D04D5D" w:rsidP="00A93D7F">
      <w:pPr>
        <w:pStyle w:val="a0"/>
        <w:numPr>
          <w:ilvl w:val="0"/>
          <w:numId w:val="33"/>
        </w:numPr>
      </w:pPr>
      <w:r w:rsidRPr="009C582C">
        <w:lastRenderedPageBreak/>
        <w:t>п</w:t>
      </w:r>
      <w:r w:rsidR="00F64932" w:rsidRPr="009C582C">
        <w:t>оддержка малого</w:t>
      </w:r>
      <w:r w:rsidRPr="009C582C">
        <w:t xml:space="preserve"> и среднего предпринимательства;</w:t>
      </w:r>
    </w:p>
    <w:p w14:paraId="249048AD" w14:textId="21668F13" w:rsidR="00F64932" w:rsidRPr="009C582C" w:rsidRDefault="00D04D5D" w:rsidP="00A93D7F">
      <w:pPr>
        <w:pStyle w:val="a0"/>
        <w:numPr>
          <w:ilvl w:val="0"/>
          <w:numId w:val="33"/>
        </w:numPr>
      </w:pPr>
      <w:r w:rsidRPr="009C582C">
        <w:t>т</w:t>
      </w:r>
      <w:r w:rsidR="00F64932" w:rsidRPr="009C582C">
        <w:t>ехнологическое прис</w:t>
      </w:r>
      <w:r w:rsidRPr="009C582C">
        <w:t>оединение к электрическим сетям;</w:t>
      </w:r>
    </w:p>
    <w:p w14:paraId="4E40DCDA" w14:textId="699F0120" w:rsidR="00F64932" w:rsidRPr="009C582C" w:rsidRDefault="00D04D5D" w:rsidP="00A93D7F">
      <w:pPr>
        <w:pStyle w:val="a0"/>
        <w:numPr>
          <w:ilvl w:val="0"/>
          <w:numId w:val="33"/>
        </w:numPr>
      </w:pPr>
      <w:r w:rsidRPr="009C582C">
        <w:t>технологическое присоединение к сетям газораспределения;</w:t>
      </w:r>
    </w:p>
    <w:p w14:paraId="29658664" w14:textId="47CA924D" w:rsidR="00F64932" w:rsidRPr="009C582C" w:rsidRDefault="00D04D5D" w:rsidP="00A93D7F">
      <w:pPr>
        <w:pStyle w:val="a0"/>
        <w:numPr>
          <w:ilvl w:val="0"/>
          <w:numId w:val="33"/>
        </w:numPr>
      </w:pPr>
      <w:r w:rsidRPr="009C582C">
        <w:t>п</w:t>
      </w:r>
      <w:r w:rsidR="00F64932" w:rsidRPr="009C582C">
        <w:t>одключ</w:t>
      </w:r>
      <w:r w:rsidRPr="009C582C">
        <w:t xml:space="preserve">ение к системам теплоснабжения, </w:t>
      </w:r>
      <w:r w:rsidR="00F64932" w:rsidRPr="009C582C">
        <w:t>централизованным системам водоснабжения и водоотведения.</w:t>
      </w:r>
    </w:p>
    <w:p w14:paraId="36E17316" w14:textId="6A5A2433" w:rsidR="00F64932" w:rsidRPr="009C582C" w:rsidRDefault="00D04D5D" w:rsidP="00A93D7F">
      <w:pPr>
        <w:pStyle w:val="a0"/>
        <w:numPr>
          <w:ilvl w:val="0"/>
          <w:numId w:val="33"/>
        </w:numPr>
      </w:pPr>
      <w:r w:rsidRPr="009C582C">
        <w:t>с</w:t>
      </w:r>
      <w:r w:rsidR="00F64932" w:rsidRPr="009C582C">
        <w:t>овершенствование и внедрение положений Регионального инвестиционного стандарта, в т.ч.:</w:t>
      </w:r>
    </w:p>
    <w:p w14:paraId="0208D4C9" w14:textId="069361C8" w:rsidR="00F64932" w:rsidRPr="009C582C" w:rsidRDefault="00F64932" w:rsidP="00A93D7F">
      <w:pPr>
        <w:pStyle w:val="a0"/>
        <w:numPr>
          <w:ilvl w:val="1"/>
          <w:numId w:val="33"/>
        </w:numPr>
      </w:pPr>
      <w:r w:rsidRPr="009C582C">
        <w:t>Наличие и качество регионального законодательства о механизмах защиты инвесторов и поддержки инвестиционной деятельности</w:t>
      </w:r>
    </w:p>
    <w:p w14:paraId="27D7C291" w14:textId="6EE93D14" w:rsidR="00F64932" w:rsidRPr="009C582C" w:rsidRDefault="00F64932" w:rsidP="00A93D7F">
      <w:pPr>
        <w:pStyle w:val="a0"/>
        <w:numPr>
          <w:ilvl w:val="1"/>
          <w:numId w:val="33"/>
        </w:numPr>
      </w:pPr>
      <w:r w:rsidRPr="009C582C">
        <w:t>Эффективность обратной связи и работы каналов прямой связи инвесторов и руководства субъекта Российской Федерации.</w:t>
      </w:r>
    </w:p>
    <w:p w14:paraId="1B4FFA37" w14:textId="0F482A7C" w:rsidR="00F64932" w:rsidRPr="009C582C" w:rsidRDefault="00F64932" w:rsidP="00A93D7F">
      <w:pPr>
        <w:pStyle w:val="a0"/>
        <w:numPr>
          <w:ilvl w:val="1"/>
          <w:numId w:val="33"/>
        </w:numPr>
      </w:pPr>
      <w:r w:rsidRPr="009C582C">
        <w:t>Эффективность деятельности специализированной организации по привлечению инвестиций и работе с инвесторами.</w:t>
      </w:r>
    </w:p>
    <w:p w14:paraId="244D77BA" w14:textId="550F5535" w:rsidR="00F64932" w:rsidRPr="009C582C" w:rsidRDefault="00F64932" w:rsidP="00A93D7F">
      <w:pPr>
        <w:pStyle w:val="a0"/>
        <w:numPr>
          <w:ilvl w:val="1"/>
          <w:numId w:val="33"/>
        </w:numPr>
      </w:pPr>
      <w:r w:rsidRPr="009C582C">
        <w:t>Качество инвестиционного портала субъекта Российской Федерации.</w:t>
      </w:r>
    </w:p>
    <w:p w14:paraId="2D9A2390" w14:textId="79AD38D5" w:rsidR="00E150C0" w:rsidRPr="009C582C" w:rsidRDefault="00103787" w:rsidP="00A93D7F">
      <w:r w:rsidRPr="009C582C">
        <w:t>К</w:t>
      </w:r>
      <w:r w:rsidR="00E150C0" w:rsidRPr="009C582C">
        <w:t>лючевыми механизмами реализации инвестиционной стратегии Нефтеюганского района являются:</w:t>
      </w:r>
    </w:p>
    <w:p w14:paraId="0D53272E" w14:textId="77777777" w:rsidR="00E150C0" w:rsidRPr="009C582C" w:rsidRDefault="00E150C0" w:rsidP="00A93D7F">
      <w:pPr>
        <w:pStyle w:val="a0"/>
        <w:numPr>
          <w:ilvl w:val="0"/>
          <w:numId w:val="27"/>
        </w:numPr>
      </w:pPr>
      <w:r w:rsidRPr="009C582C">
        <w:t xml:space="preserve">инструменты по устранению административных барьеров; </w:t>
      </w:r>
    </w:p>
    <w:p w14:paraId="4A12B759" w14:textId="77777777" w:rsidR="00E150C0" w:rsidRPr="009C582C" w:rsidRDefault="00E150C0" w:rsidP="00A93D7F">
      <w:pPr>
        <w:pStyle w:val="a0"/>
        <w:numPr>
          <w:ilvl w:val="0"/>
          <w:numId w:val="27"/>
        </w:numPr>
      </w:pPr>
      <w:r w:rsidRPr="009C582C">
        <w:t>система проектного управления;</w:t>
      </w:r>
    </w:p>
    <w:p w14:paraId="4B10AE8B" w14:textId="77777777" w:rsidR="00E150C0" w:rsidRPr="009C582C" w:rsidRDefault="00E150C0" w:rsidP="00A93D7F">
      <w:pPr>
        <w:pStyle w:val="a0"/>
        <w:numPr>
          <w:ilvl w:val="0"/>
          <w:numId w:val="27"/>
        </w:numPr>
      </w:pPr>
      <w:r w:rsidRPr="009C582C">
        <w:t xml:space="preserve">формы поддержки инвестиционной и предпринимательской деятельности; </w:t>
      </w:r>
    </w:p>
    <w:p w14:paraId="5A04E2D6" w14:textId="77777777" w:rsidR="00E150C0" w:rsidRPr="009C582C" w:rsidRDefault="00E150C0" w:rsidP="00A93D7F">
      <w:pPr>
        <w:pStyle w:val="a0"/>
        <w:numPr>
          <w:ilvl w:val="0"/>
          <w:numId w:val="27"/>
        </w:numPr>
      </w:pPr>
      <w:r w:rsidRPr="009C582C">
        <w:t xml:space="preserve">реализация кластерной политики (кластер нефтегазодобычи); </w:t>
      </w:r>
    </w:p>
    <w:p w14:paraId="74CB1A4F" w14:textId="0391F5F1" w:rsidR="00E150C0" w:rsidRPr="003451AF" w:rsidRDefault="00E150C0" w:rsidP="00A93D7F">
      <w:pPr>
        <w:pStyle w:val="a0"/>
        <w:numPr>
          <w:ilvl w:val="0"/>
          <w:numId w:val="27"/>
        </w:numPr>
      </w:pPr>
      <w:r w:rsidRPr="009C582C">
        <w:t>создание инфраструктурно</w:t>
      </w:r>
      <w:r w:rsidRPr="003451AF">
        <w:t xml:space="preserve"> обеспеченных инвестиционных площадок.</w:t>
      </w:r>
    </w:p>
    <w:p w14:paraId="24599CDF" w14:textId="6C5EE2F1" w:rsidR="001127BB" w:rsidRPr="003451AF" w:rsidRDefault="001127BB" w:rsidP="00A93D7F">
      <w:r w:rsidRPr="003451AF">
        <w:t>Для улучшения инвестиционного климата и создания благоприятных условий в Нефтеюганском районе в соответствии с рекомендациям</w:t>
      </w:r>
      <w:r w:rsidR="000001DB">
        <w:t>и</w:t>
      </w:r>
      <w:r w:rsidRPr="003451AF">
        <w:t xml:space="preserve"> Правительства автономного округа – Югры проведена следующая работа: </w:t>
      </w:r>
    </w:p>
    <w:p w14:paraId="1CE3DDBF" w14:textId="754A1425" w:rsidR="001127BB" w:rsidRPr="003451AF" w:rsidRDefault="001127BB" w:rsidP="00A93D7F">
      <w:pPr>
        <w:pStyle w:val="a0"/>
        <w:numPr>
          <w:ilvl w:val="0"/>
          <w:numId w:val="26"/>
        </w:numPr>
      </w:pPr>
      <w:r w:rsidRPr="003451AF">
        <w:t xml:space="preserve">распоряжением администрации Нефтеюганского района утверждены должностные лица администрации ответственные за оказание содействия сопровождения инвестиционных проектов (распоряжение администрации Нефтеюганского района от 15.07.2014 № 416-ра); </w:t>
      </w:r>
    </w:p>
    <w:p w14:paraId="6CBEADD8" w14:textId="477E776D" w:rsidR="001127BB" w:rsidRPr="003451AF" w:rsidRDefault="001127BB" w:rsidP="00A93D7F">
      <w:pPr>
        <w:pStyle w:val="a0"/>
        <w:numPr>
          <w:ilvl w:val="0"/>
          <w:numId w:val="26"/>
        </w:numPr>
      </w:pPr>
      <w:r w:rsidRPr="003451AF">
        <w:t xml:space="preserve">в должностные инструкции ответственных должностных лиц в квалификационные требования и должностные обязанности внесены дополнения (с учетом требований Методических рекомендаций о включении обязательных требований (специальных компетенций) в должностные регламенты государственных гражданских служащих, участвующих в инвестиционном процессе в соответствующих сферах экономической деятельности); </w:t>
      </w:r>
    </w:p>
    <w:p w14:paraId="3389EBE3" w14:textId="320BFF6B" w:rsidR="00FA0165" w:rsidRPr="003451AF" w:rsidRDefault="001127BB" w:rsidP="00A93D7F">
      <w:pPr>
        <w:pStyle w:val="a0"/>
        <w:numPr>
          <w:ilvl w:val="0"/>
          <w:numId w:val="26"/>
        </w:numPr>
      </w:pPr>
      <w:r w:rsidRPr="003451AF">
        <w:t>в целях доступности информации для инвесторов и потенциальных инвестиционных партнеров, в соответствии с методическими рекомендациями, на официальном сайте администрации Нефтеюганского района в разделе «Экономика» создана рубрика «Формирование благоприятных условий для предпринимательской деятельности».</w:t>
      </w:r>
    </w:p>
    <w:p w14:paraId="4D2B2DC1" w14:textId="2D6A4334" w:rsidR="00FA0165" w:rsidRPr="003451AF" w:rsidRDefault="003451AF" w:rsidP="00A93D7F">
      <w:r>
        <w:t xml:space="preserve">На территории Нефтеюганского района реализуются следующие формы </w:t>
      </w:r>
      <w:r w:rsidR="00FA0165" w:rsidRPr="003451AF">
        <w:t>поддержки инвестиционной деятельности</w:t>
      </w:r>
      <w:r>
        <w:t>:</w:t>
      </w:r>
    </w:p>
    <w:p w14:paraId="7ED06141" w14:textId="60A0DD9B" w:rsidR="00FA0165" w:rsidRPr="003451AF" w:rsidRDefault="00FA0165" w:rsidP="00A93D7F">
      <w:pPr>
        <w:pStyle w:val="a0"/>
        <w:numPr>
          <w:ilvl w:val="0"/>
          <w:numId w:val="28"/>
        </w:numPr>
      </w:pPr>
      <w:r w:rsidRPr="003451AF">
        <w:t>льготы по земельному налогу для организаций и предприятий, реализующих инвестиционные проекты на территории Нефтеюганского района, установленные нормативно-правовыми актами муниципальных образований Нефтеюганского района</w:t>
      </w:r>
      <w:r w:rsidR="003451AF">
        <w:t>;</w:t>
      </w:r>
    </w:p>
    <w:p w14:paraId="03911F54" w14:textId="16627A99" w:rsidR="00FA0165" w:rsidRPr="003451AF" w:rsidRDefault="00FA0165" w:rsidP="00A93D7F">
      <w:pPr>
        <w:pStyle w:val="a0"/>
        <w:numPr>
          <w:ilvl w:val="0"/>
          <w:numId w:val="28"/>
        </w:numPr>
      </w:pPr>
      <w:r w:rsidRPr="003451AF">
        <w:t>регламент по сопровождению инвестиционных проектов по принципу «одного окна»</w:t>
      </w:r>
      <w:r w:rsidR="003451AF">
        <w:t>;</w:t>
      </w:r>
    </w:p>
    <w:p w14:paraId="01D363B5" w14:textId="5B05F9A6" w:rsidR="00FA0165" w:rsidRPr="003451AF" w:rsidRDefault="00FA0165" w:rsidP="00A93D7F">
      <w:pPr>
        <w:pStyle w:val="a0"/>
        <w:numPr>
          <w:ilvl w:val="0"/>
          <w:numId w:val="28"/>
        </w:numPr>
        <w:rPr>
          <w:i/>
        </w:rPr>
      </w:pPr>
      <w:r w:rsidRPr="003451AF">
        <w:t>координационные органы, курирующие вопросы развития инвестиционной деятельности</w:t>
      </w:r>
      <w:r w:rsidR="003451AF">
        <w:t>;</w:t>
      </w:r>
    </w:p>
    <w:p w14:paraId="6518677D" w14:textId="0F474CBE" w:rsidR="00FA0165" w:rsidRPr="003451AF" w:rsidRDefault="00FA0165" w:rsidP="00A93D7F">
      <w:pPr>
        <w:pStyle w:val="a0"/>
        <w:numPr>
          <w:ilvl w:val="0"/>
          <w:numId w:val="28"/>
        </w:numPr>
      </w:pPr>
      <w:r w:rsidRPr="003451AF">
        <w:lastRenderedPageBreak/>
        <w:t>инфраструктура поддержки предпринимательства</w:t>
      </w:r>
      <w:r w:rsidR="003451AF">
        <w:t>;</w:t>
      </w:r>
    </w:p>
    <w:p w14:paraId="46B01638" w14:textId="6EC744BC" w:rsidR="00FA0165" w:rsidRPr="003451AF" w:rsidRDefault="00FA0165" w:rsidP="00A93D7F">
      <w:pPr>
        <w:pStyle w:val="a0"/>
        <w:numPr>
          <w:ilvl w:val="0"/>
          <w:numId w:val="28"/>
        </w:numPr>
        <w:rPr>
          <w:i/>
        </w:rPr>
      </w:pPr>
      <w:r w:rsidRPr="003451AF">
        <w:t>онлайн-приемная для обращения в адрес главы администрации Нефтеюганского района, уполномоченного органа</w:t>
      </w:r>
      <w:r w:rsidRPr="003451AF">
        <w:rPr>
          <w:spacing w:val="-2"/>
        </w:rPr>
        <w:t xml:space="preserve"> по осуществлению</w:t>
      </w:r>
      <w:r w:rsidRPr="003451AF">
        <w:t xml:space="preserve"> </w:t>
      </w:r>
      <w:r w:rsidRPr="003451AF">
        <w:rPr>
          <w:spacing w:val="-2"/>
        </w:rPr>
        <w:t>функций курирования и информационного сопровождения инвестиционных проектов</w:t>
      </w:r>
      <w:r w:rsidR="003451AF" w:rsidRPr="003451AF">
        <w:rPr>
          <w:spacing w:val="-2"/>
        </w:rPr>
        <w:t>.</w:t>
      </w:r>
    </w:p>
    <w:p w14:paraId="34349AB5" w14:textId="77777777" w:rsidR="00F31CDE" w:rsidRPr="003451AF" w:rsidRDefault="00F31CDE" w:rsidP="00A93D7F">
      <w:pPr>
        <w:pStyle w:val="a0"/>
      </w:pPr>
      <w:r w:rsidRPr="003451AF">
        <w:t>В целях обеспечения согласования действий органа местного самоуправления и организаций, осуществляющих деятельности на территории Нефтеюганского района по вопросам инвестиционной деятельности, проводятся заседания рабочей группы по формированию благоприятной инвестиционной деятельности в Нефтеюганском районе, утвержденной распоряжением администрации Нефтеюганского района от 05.09.2014 № 510-ра.</w:t>
      </w:r>
    </w:p>
    <w:p w14:paraId="611FD975" w14:textId="77777777" w:rsidR="00F31CDE" w:rsidRPr="003451AF" w:rsidRDefault="00F31CDE" w:rsidP="00A93D7F">
      <w:r w:rsidRPr="003451AF">
        <w:t>В рамках создания благоприятного инвестиционного климата немаловажное значение имеет сокращение сроков получения разрешения на строительство, предоставление земельных участков под строительство, а также технологического присоединения к объектам электросетевого хозяйства.</w:t>
      </w:r>
    </w:p>
    <w:p w14:paraId="1701539A" w14:textId="77777777" w:rsidR="00632D09" w:rsidRPr="003451AF" w:rsidRDefault="00632D09" w:rsidP="00A93D7F">
      <w:pPr>
        <w:rPr>
          <w:bCs/>
        </w:rPr>
      </w:pPr>
      <w:r w:rsidRPr="003451AF">
        <w:rPr>
          <w:bCs/>
        </w:rPr>
        <w:t xml:space="preserve">В соответствии с утвержденным </w:t>
      </w:r>
      <w:r w:rsidRPr="003451AF">
        <w:t xml:space="preserve">распоряжением администрации Нефтеюганского района от 23.03.2015 № 115-ра «О плане мероприятий («дорожной карте») по обеспечению благоприятного инвестиционного климата в Нефтеюганском районе» предусмотрено дальнейшее планомерное сокращение количества процедур и сроков получения разрешения на строительство, а также технологического присоединения к объектам электросетевого хозяйства. </w:t>
      </w:r>
    </w:p>
    <w:p w14:paraId="1A9ED300" w14:textId="77777777" w:rsidR="00632D09" w:rsidRPr="003451AF" w:rsidRDefault="00632D09" w:rsidP="00A93D7F">
      <w:r w:rsidRPr="003451AF">
        <w:t xml:space="preserve">В атлас муниципальных практик Агентства стратегических инициатив вошли две муниципальные практики, реализуемые на территории Нефтеюганского района: </w:t>
      </w:r>
    </w:p>
    <w:p w14:paraId="65D1971D" w14:textId="56521AA9" w:rsidR="00632D09" w:rsidRPr="003451AF" w:rsidRDefault="00632D09" w:rsidP="00A93D7F">
      <w:pPr>
        <w:pStyle w:val="a0"/>
        <w:numPr>
          <w:ilvl w:val="0"/>
          <w:numId w:val="29"/>
        </w:numPr>
      </w:pPr>
      <w:r w:rsidRPr="003451AF">
        <w:t>создание структурного подразделения для управления деятельностью по улучшению и</w:t>
      </w:r>
      <w:r w:rsidR="00671EB8" w:rsidRPr="003451AF">
        <w:t>нвестиционного климата;</w:t>
      </w:r>
    </w:p>
    <w:p w14:paraId="74FF8480" w14:textId="66602220" w:rsidR="00632D09" w:rsidRPr="003451AF" w:rsidRDefault="00632D09" w:rsidP="00A93D7F">
      <w:pPr>
        <w:pStyle w:val="a0"/>
        <w:numPr>
          <w:ilvl w:val="0"/>
          <w:numId w:val="29"/>
        </w:numPr>
      </w:pPr>
      <w:r w:rsidRPr="003451AF">
        <w:t>организация специализированного Интернет-ресурса муниципального образования об инвестиционной деятельности, обеспечивающего канал прямой связи органов местного самоуправления с инвесторами.</w:t>
      </w:r>
    </w:p>
    <w:p w14:paraId="1FCF4064" w14:textId="4BE12AE3" w:rsidR="003C2D6C" w:rsidRPr="003451AF" w:rsidRDefault="00340154" w:rsidP="00A93D7F">
      <w:r w:rsidRPr="003451AF">
        <w:t xml:space="preserve">На территории района также сформирован ряд инвестиционных площадок. </w:t>
      </w:r>
      <w:r w:rsidR="007C4C92" w:rsidRPr="003451AF">
        <w:t xml:space="preserve">Ключевой задачей на период реализации Стратегии </w:t>
      </w:r>
      <w:r w:rsidR="00CB27DF" w:rsidRPr="003451AF">
        <w:t xml:space="preserve">является приведение инвестиционных площадок в соответствие с современными требованиями инвесторов (инфраструктурная и инженерная подготовка территорий).  </w:t>
      </w:r>
      <w:r w:rsidRPr="003451AF">
        <w:t xml:space="preserve">Реализация инвестиционных проектов на базе инвестиционных площадок района позволит создать благоприятные инвестиционные условия, а также </w:t>
      </w:r>
      <w:r w:rsidR="00F446D5" w:rsidRPr="003451AF">
        <w:t>создаст</w:t>
      </w:r>
      <w:r w:rsidRPr="003451AF">
        <w:t xml:space="preserve"> фундамент для соци</w:t>
      </w:r>
      <w:r w:rsidR="00F446D5" w:rsidRPr="003451AF">
        <w:t>ально-</w:t>
      </w:r>
      <w:r w:rsidRPr="003451AF">
        <w:t xml:space="preserve">экономического развития </w:t>
      </w:r>
      <w:r w:rsidR="00F446D5" w:rsidRPr="003451AF">
        <w:t xml:space="preserve">периферийных территорий </w:t>
      </w:r>
      <w:r w:rsidRPr="003451AF">
        <w:t>Нефтеюганского района.</w:t>
      </w:r>
    </w:p>
    <w:p w14:paraId="4B2C8EC4" w14:textId="77777777" w:rsidR="000D752D" w:rsidRPr="00EB44D0" w:rsidRDefault="000D752D" w:rsidP="005F7694">
      <w:pPr>
        <w:pStyle w:val="2"/>
        <w:numPr>
          <w:ilvl w:val="0"/>
          <w:numId w:val="0"/>
        </w:numPr>
        <w:ind w:left="1080"/>
      </w:pPr>
    </w:p>
    <w:p w14:paraId="3D39F000" w14:textId="3DC1658A" w:rsidR="000D752D" w:rsidRDefault="000D752D" w:rsidP="00A93D7F">
      <w:pPr>
        <w:pStyle w:val="2"/>
      </w:pPr>
      <w:bookmarkStart w:id="48" w:name="_Toc503913883"/>
      <w:bookmarkStart w:id="49" w:name="_Toc504055123"/>
      <w:r w:rsidRPr="00EB44D0">
        <w:t>Финансовые механизмы</w:t>
      </w:r>
      <w:bookmarkEnd w:id="48"/>
      <w:bookmarkEnd w:id="49"/>
    </w:p>
    <w:p w14:paraId="3F96AF27" w14:textId="77777777" w:rsidR="00532113" w:rsidRDefault="00532113" w:rsidP="00A93D7F"/>
    <w:p w14:paraId="4D6E2843" w14:textId="2C78B34E" w:rsidR="000A4856" w:rsidRPr="00C76703" w:rsidRDefault="000A4856" w:rsidP="00A93D7F">
      <w:r w:rsidRPr="00C76703">
        <w:t>Обязательным условием успешной реализации Стратегии является стабильность и устойчивость бюджетной системы муниципального района. Высокая степень зависимости доходов бюджета от внешних факторов обуславливает необходимость проведения консервативной бюджетной политики даже в условиях благоприятной экономической конъюнктуры. Разработка бюджетного прогноза, определяющего параметры доходов и расходов бюджета, будет осуществляться, исходя из социально-экономических параметров, степени зависимости бюджетных доходов от изменения конкретных условий.</w:t>
      </w:r>
    </w:p>
    <w:p w14:paraId="3CC618B7" w14:textId="2634557C" w:rsidR="00B72F5D" w:rsidRPr="00C76703" w:rsidRDefault="00B72F5D" w:rsidP="00A93D7F">
      <w:r w:rsidRPr="00C76703">
        <w:t xml:space="preserve">Финансовые механизмы управления, нацеленные на реализацию приоритетов Стратегии – 2030, предусматривают рациональное использование бюджетных средств, их концентрацию на развитие приоритетных социально-экономических направлений; максимальное привлечение внебюджетных источников финансирования, в том числе через развитие механизмов муниципально-частного партнерства; размещение заказов на </w:t>
      </w:r>
      <w:r w:rsidRPr="00C76703">
        <w:lastRenderedPageBreak/>
        <w:t>поставки товаров, выполнение работ, оказание услуг для муниципальных нужд на конкурсной основе в соответствии с федеральными законами и законами автономного округа.</w:t>
      </w:r>
    </w:p>
    <w:p w14:paraId="777B3A07" w14:textId="4B1AE89D" w:rsidR="000A4856" w:rsidRPr="00C76703" w:rsidRDefault="00064DE5" w:rsidP="00A93D7F">
      <w:r w:rsidRPr="00C76703">
        <w:t xml:space="preserve">Приоритетные задачи в развитии финансовой системы заключаются в диверсификации и повышении инновационности региональной экономики, формировании предпосылок для привлечения в Югру стратегических инвесторов, улучшении уровня и качества жизни автономного округа. </w:t>
      </w:r>
    </w:p>
    <w:p w14:paraId="298B8EF6" w14:textId="31C2F7E2" w:rsidR="000A4856" w:rsidRPr="00C76703" w:rsidRDefault="000A4856" w:rsidP="00A93D7F">
      <w:r w:rsidRPr="00C76703">
        <w:t xml:space="preserve">Основным финансовым механизмом реализации Стратегии являются </w:t>
      </w:r>
      <w:r w:rsidR="005711B9" w:rsidRPr="00C76703">
        <w:t>муниципальные</w:t>
      </w:r>
      <w:r w:rsidRPr="00C76703">
        <w:t xml:space="preserve"> программы. В </w:t>
      </w:r>
      <w:r w:rsidR="00064DE5" w:rsidRPr="00C76703">
        <w:t>Нефтеюганском районе</w:t>
      </w:r>
      <w:r w:rsidRPr="00C76703">
        <w:t xml:space="preserve"> сформирована правовая основа долгосрочного бюджетного планирования, в соответствии с которой подготовка и исполнение бюджета осуществляется в «программном» формате. Соотношение приоритетов социально-экономического развития и бюджетной политики синхронизировано с </w:t>
      </w:r>
      <w:r w:rsidR="00064DE5" w:rsidRPr="00C76703">
        <w:t>муниципальными</w:t>
      </w:r>
      <w:r w:rsidRPr="00C76703">
        <w:t xml:space="preserve"> программ</w:t>
      </w:r>
      <w:r w:rsidR="00064DE5" w:rsidRPr="00C76703">
        <w:t>ами</w:t>
      </w:r>
      <w:r w:rsidRPr="00C76703">
        <w:t xml:space="preserve"> </w:t>
      </w:r>
      <w:r w:rsidR="006445DF" w:rsidRPr="00C76703">
        <w:t>Нефтеюганского района</w:t>
      </w:r>
      <w:r w:rsidRPr="00C76703">
        <w:t>.</w:t>
      </w:r>
    </w:p>
    <w:p w14:paraId="12CA45C2" w14:textId="4161A1E6" w:rsidR="00532113" w:rsidRPr="00C76703" w:rsidRDefault="000A4856" w:rsidP="00A93D7F">
      <w:r w:rsidRPr="00C76703">
        <w:t xml:space="preserve">Особое внимание при формировании «программного бюджета» уделено повышению эффективности </w:t>
      </w:r>
      <w:r w:rsidR="00347CA2" w:rsidRPr="00C76703">
        <w:t>муниципальных</w:t>
      </w:r>
      <w:r w:rsidRPr="00C76703">
        <w:t xml:space="preserve"> программ и концентрации имеющихся ресурсов на решении ключевых задач, определенных в документах стратегического планирования, в том числе </w:t>
      </w:r>
      <w:r w:rsidR="005711B9" w:rsidRPr="00C76703">
        <w:t xml:space="preserve">методами проектного управления. </w:t>
      </w:r>
      <w:r w:rsidRPr="00C76703">
        <w:t xml:space="preserve">Одним из принципов построения </w:t>
      </w:r>
      <w:r w:rsidR="005711B9" w:rsidRPr="00C76703">
        <w:t>муниципальных</w:t>
      </w:r>
      <w:r w:rsidRPr="00C76703">
        <w:t xml:space="preserve"> программ является отраслевой – в одной </w:t>
      </w:r>
      <w:r w:rsidR="005711B9" w:rsidRPr="00C76703">
        <w:t>муниципальной</w:t>
      </w:r>
      <w:r w:rsidRPr="00C76703">
        <w:t xml:space="preserve"> программе отражено развитие всей отрасли, курируемой ответственными исполнителями. Проведение оценки эффективности </w:t>
      </w:r>
      <w:r w:rsidR="005711B9" w:rsidRPr="00C76703">
        <w:t>муниципальных</w:t>
      </w:r>
      <w:r w:rsidRPr="00C76703">
        <w:t xml:space="preserve"> программ дает возможность своевременного принятия управленческих решений по их корректировке. </w:t>
      </w:r>
    </w:p>
    <w:p w14:paraId="26C75A18" w14:textId="77777777" w:rsidR="00EB44D0" w:rsidRPr="00EB44D0" w:rsidRDefault="00EB44D0" w:rsidP="00A93D7F"/>
    <w:p w14:paraId="513DE97B" w14:textId="6EA1127E" w:rsidR="006530B0" w:rsidRPr="00EB44D0" w:rsidRDefault="006530B0" w:rsidP="00A93D7F">
      <w:pPr>
        <w:pStyle w:val="2"/>
      </w:pPr>
      <w:bookmarkStart w:id="50" w:name="_Toc503913884"/>
      <w:bookmarkStart w:id="51" w:name="_Toc504055124"/>
      <w:r w:rsidRPr="00EB44D0">
        <w:t>Внедрение информационно-коммуникационных технологий (Информационное общество)</w:t>
      </w:r>
      <w:bookmarkEnd w:id="50"/>
      <w:bookmarkEnd w:id="51"/>
    </w:p>
    <w:p w14:paraId="45884557" w14:textId="77777777" w:rsidR="0006788B" w:rsidRPr="00C76703" w:rsidRDefault="0006788B" w:rsidP="00A93D7F"/>
    <w:p w14:paraId="24262D4A" w14:textId="20E0E81E" w:rsidR="0006788B" w:rsidRPr="00C76703" w:rsidRDefault="0006788B" w:rsidP="00A93D7F">
      <w:r w:rsidRPr="00C76703">
        <w:t xml:space="preserve">Внедрение информационно-коммуникационных технологий (ИКТ) в основные сферы деятельности является одним из приоритетных направлений государственной политики в связи с перспективами самого рынка технологий и </w:t>
      </w:r>
      <w:r w:rsidR="00F24B64" w:rsidRPr="00C76703">
        <w:t xml:space="preserve">его </w:t>
      </w:r>
      <w:r w:rsidRPr="00C76703">
        <w:t xml:space="preserve">значении для </w:t>
      </w:r>
      <w:r w:rsidR="009711E9" w:rsidRPr="00C76703">
        <w:t>инновационного развития всех сфер социально-экономической деятельности</w:t>
      </w:r>
      <w:r w:rsidRPr="00C76703">
        <w:t>.</w:t>
      </w:r>
    </w:p>
    <w:p w14:paraId="1C4A6E2C" w14:textId="11907921" w:rsidR="00D719AF" w:rsidRPr="00C76703" w:rsidRDefault="00D719AF" w:rsidP="00A93D7F">
      <w:r w:rsidRPr="00C76703">
        <w:t xml:space="preserve">Стартовые возможности – интеллектуальные, инновационные и научно-технические, необходимые для перестройки работы организаций на базе ИКТ, приведут к новому качеству оказания муниципальных услуг (включая услуги в сфере здравоохранения, образования, социальной защиты, культуры и др.), развитию новых форм ведения бизнеса и взаимодействия с гражданами. </w:t>
      </w:r>
    </w:p>
    <w:p w14:paraId="08DCDE57" w14:textId="51AFBA69" w:rsidR="00D719AF" w:rsidRPr="00C76703" w:rsidRDefault="00D719AF" w:rsidP="00A93D7F">
      <w:r w:rsidRPr="00C76703">
        <w:t>Главной целью развития отрасли является повышение эффективности системы муниципального управления, 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за счет внедрения в деятельность органов власти информационно-коммуникационных технологий.</w:t>
      </w:r>
    </w:p>
    <w:p w14:paraId="65C2E649" w14:textId="77777777" w:rsidR="00EA5592" w:rsidRPr="00C76703" w:rsidRDefault="00EA5592" w:rsidP="00A93D7F">
      <w:r w:rsidRPr="00C76703">
        <w:t xml:space="preserve">Высокие технологии станут опорой для роста экономики, модернизации управления, предметом повышенного потребительского спроса, для этого будут решены принципиальные задачи: </w:t>
      </w:r>
    </w:p>
    <w:p w14:paraId="01097656" w14:textId="673F288D" w:rsidR="00EA5592" w:rsidRPr="00C76703" w:rsidRDefault="00EA5592" w:rsidP="00A93D7F">
      <w:pPr>
        <w:pStyle w:val="a0"/>
        <w:numPr>
          <w:ilvl w:val="0"/>
          <w:numId w:val="35"/>
        </w:numPr>
      </w:pPr>
      <w:r w:rsidRPr="00C76703">
        <w:t xml:space="preserve">обеспечение равного доступа граждан и организаций </w:t>
      </w:r>
      <w:r w:rsidR="00727BBE" w:rsidRPr="00C76703">
        <w:t>района</w:t>
      </w:r>
      <w:r w:rsidRPr="00C76703">
        <w:t xml:space="preserve"> к современным технологиям; </w:t>
      </w:r>
    </w:p>
    <w:p w14:paraId="630D5F5D" w14:textId="583BFB06" w:rsidR="00EA5592" w:rsidRPr="00C76703" w:rsidRDefault="00727BBE" w:rsidP="00A93D7F">
      <w:pPr>
        <w:pStyle w:val="a0"/>
        <w:numPr>
          <w:ilvl w:val="0"/>
          <w:numId w:val="35"/>
        </w:numPr>
      </w:pPr>
      <w:r w:rsidRPr="00C76703">
        <w:t>информатизация</w:t>
      </w:r>
      <w:r w:rsidR="00EA5592" w:rsidRPr="00C76703">
        <w:t xml:space="preserve"> муниципального управления; </w:t>
      </w:r>
    </w:p>
    <w:p w14:paraId="13104D61" w14:textId="212D2B80" w:rsidR="00EA5592" w:rsidRPr="00C76703" w:rsidRDefault="00EA5592" w:rsidP="00A93D7F">
      <w:pPr>
        <w:pStyle w:val="a0"/>
        <w:numPr>
          <w:ilvl w:val="0"/>
          <w:numId w:val="35"/>
        </w:numPr>
      </w:pPr>
      <w:r w:rsidRPr="00C76703">
        <w:t>подготовка граждан к внедрению высоких технологий, а также просветительская деятельность, формирующая обществ</w:t>
      </w:r>
      <w:r w:rsidR="00727BBE" w:rsidRPr="00C76703">
        <w:t>енную потребность в их развитии.</w:t>
      </w:r>
    </w:p>
    <w:p w14:paraId="720AC59E" w14:textId="77777777" w:rsidR="00EA5592" w:rsidRPr="00C76703" w:rsidRDefault="00EA5592" w:rsidP="00A93D7F">
      <w:r w:rsidRPr="00C76703">
        <w:t>Перечень основных приоритетных направлений развития сферы ИКТ, прогнозируемых к достижению в долгосрочной перспективе:</w:t>
      </w:r>
    </w:p>
    <w:p w14:paraId="224C2607" w14:textId="2B3D6A2D" w:rsidR="00EA5592" w:rsidRPr="00C76703" w:rsidRDefault="00EA5592" w:rsidP="00A93D7F">
      <w:pPr>
        <w:pStyle w:val="a0"/>
        <w:numPr>
          <w:ilvl w:val="0"/>
          <w:numId w:val="36"/>
        </w:numPr>
      </w:pPr>
      <w:r w:rsidRPr="00C76703">
        <w:lastRenderedPageBreak/>
        <w:t xml:space="preserve">повышение качества жизни населения </w:t>
      </w:r>
      <w:r w:rsidR="00727BBE" w:rsidRPr="00C76703">
        <w:t>района</w:t>
      </w:r>
      <w:r w:rsidRPr="00C76703">
        <w:t xml:space="preserve"> за счет использования современных информационных и телекоммуникационных технологий и развития инфраструктуры широкополосного доступа к сети Интернет;</w:t>
      </w:r>
    </w:p>
    <w:p w14:paraId="6098D262" w14:textId="117A701F" w:rsidR="00727BBE" w:rsidRPr="00C76703" w:rsidRDefault="00EA5592" w:rsidP="00A93D7F">
      <w:pPr>
        <w:pStyle w:val="a0"/>
        <w:numPr>
          <w:ilvl w:val="0"/>
          <w:numId w:val="36"/>
        </w:numPr>
      </w:pPr>
      <w:r w:rsidRPr="00C76703">
        <w:t xml:space="preserve">формирование эффективной системы </w:t>
      </w:r>
      <w:r w:rsidR="00727BBE" w:rsidRPr="00C76703">
        <w:t>мунициапльного</w:t>
      </w:r>
      <w:r w:rsidRPr="00C76703">
        <w:t xml:space="preserve"> управления на основе использования ИКТ;</w:t>
      </w:r>
    </w:p>
    <w:p w14:paraId="1A41A583" w14:textId="77777777" w:rsidR="00727BBE" w:rsidRPr="00C76703" w:rsidRDefault="00EA5592" w:rsidP="00A93D7F">
      <w:pPr>
        <w:pStyle w:val="a0"/>
        <w:numPr>
          <w:ilvl w:val="0"/>
          <w:numId w:val="36"/>
        </w:numPr>
      </w:pPr>
      <w:r w:rsidRPr="00C76703">
        <w:t>оптимизация затрат на внедрение и использование ИКТ;</w:t>
      </w:r>
    </w:p>
    <w:p w14:paraId="18006BFE" w14:textId="58DCAC96" w:rsidR="00EA5592" w:rsidRPr="00C76703" w:rsidRDefault="00EA5592" w:rsidP="00A93D7F">
      <w:pPr>
        <w:pStyle w:val="a0"/>
        <w:numPr>
          <w:ilvl w:val="0"/>
          <w:numId w:val="36"/>
        </w:numPr>
      </w:pPr>
      <w:r w:rsidRPr="00C76703">
        <w:t>формирование и поддержка сектора ИКТ, обеспеч</w:t>
      </w:r>
      <w:r w:rsidR="00542C54" w:rsidRPr="00C76703">
        <w:t xml:space="preserve">ивающего разработку, внедрение, </w:t>
      </w:r>
      <w:r w:rsidRPr="00C76703">
        <w:t>сопровождение информационных ресурсов и систем на базе инновационных предприятий.</w:t>
      </w:r>
    </w:p>
    <w:p w14:paraId="17D8ED41" w14:textId="77777777" w:rsidR="0006788B" w:rsidRPr="006530B0" w:rsidRDefault="0006788B" w:rsidP="00A93D7F">
      <w:pPr>
        <w:sectPr w:rsidR="0006788B" w:rsidRPr="006530B0" w:rsidSect="00D66183">
          <w:pgSz w:w="11900" w:h="16840"/>
          <w:pgMar w:top="1134" w:right="850" w:bottom="1134" w:left="1701" w:header="708" w:footer="708" w:gutter="0"/>
          <w:cols w:space="708"/>
          <w:titlePg/>
          <w:docGrid w:linePitch="360"/>
        </w:sectPr>
      </w:pPr>
    </w:p>
    <w:p w14:paraId="447EBB53" w14:textId="157925F8" w:rsidR="006F698B" w:rsidRPr="00275404" w:rsidRDefault="006F698B" w:rsidP="00A93D7F">
      <w:pPr>
        <w:pStyle w:val="1"/>
      </w:pPr>
      <w:bookmarkStart w:id="52" w:name="_Toc503913885"/>
      <w:bookmarkStart w:id="53" w:name="_Toc504055125"/>
      <w:r w:rsidRPr="00275404">
        <w:lastRenderedPageBreak/>
        <w:t>ПЛАН МЕРОПРИЯТИЙ ПО РЕАЛИЗАЦИИ СТРАТЕГИИ</w:t>
      </w:r>
      <w:bookmarkEnd w:id="52"/>
      <w:bookmarkEnd w:id="53"/>
    </w:p>
    <w:p w14:paraId="0AB14B00" w14:textId="77777777" w:rsidR="00BB3E17" w:rsidRDefault="00BB3E17" w:rsidP="00A93D7F"/>
    <w:p w14:paraId="6528D8BF" w14:textId="601E236C" w:rsidR="00BB3E17" w:rsidRDefault="00BB3E17" w:rsidP="00A93D7F">
      <w:r>
        <w:rPr>
          <w:color w:val="000000"/>
        </w:rPr>
        <w:t>План мероприятий по реализации Стратегии социально-экономического развития</w:t>
      </w:r>
      <w:r>
        <w:t xml:space="preserve"> муниципального образования Нефтеюганский район </w:t>
      </w:r>
      <w:r w:rsidRPr="00721D25">
        <w:t xml:space="preserve">представляет собой документ стратегического планирования, содержащий приоритеты, цели, задачи социально-экономического развития </w:t>
      </w:r>
      <w:r>
        <w:t>Нефтеюганского района,</w:t>
      </w:r>
      <w:r w:rsidRPr="00721D25">
        <w:t xml:space="preserve"> направления деятельности по их реализации. </w:t>
      </w:r>
    </w:p>
    <w:p w14:paraId="6B0FFC9D" w14:textId="426B710B" w:rsidR="00BB3E17" w:rsidRPr="00721D25" w:rsidRDefault="00BB3E17" w:rsidP="00A93D7F">
      <w:pPr>
        <w:rPr>
          <w:lang w:eastAsia="x-none"/>
        </w:rPr>
      </w:pPr>
      <w:r w:rsidRPr="00721D25">
        <w:t xml:space="preserve">План </w:t>
      </w:r>
      <w:r w:rsidR="0085772F">
        <w:t>мероприятий формируется исходя из анализа социально-экономического развития района</w:t>
      </w:r>
      <w:r w:rsidRPr="00721D25">
        <w:t xml:space="preserve"> </w:t>
      </w:r>
      <w:r w:rsidR="0085772F">
        <w:t>в предшествующий период, оценки</w:t>
      </w:r>
      <w:r w:rsidRPr="00721D25">
        <w:t xml:space="preserve"> тенденций </w:t>
      </w:r>
      <w:r w:rsidR="0085772F">
        <w:t xml:space="preserve">и </w:t>
      </w:r>
      <w:r w:rsidRPr="00721D25">
        <w:t xml:space="preserve">прогнозов социально-экономического развития </w:t>
      </w:r>
      <w:r w:rsidR="0085772F">
        <w:t>Нефтеюганского района</w:t>
      </w:r>
      <w:r w:rsidRPr="00721D25">
        <w:t xml:space="preserve"> </w:t>
      </w:r>
      <w:r w:rsidR="0085772F">
        <w:t xml:space="preserve">и </w:t>
      </w:r>
      <w:r>
        <w:t>Ханты-Мансийского автономного округа – Югры в целом</w:t>
      </w:r>
      <w:r w:rsidRPr="00721D25">
        <w:t xml:space="preserve">. </w:t>
      </w:r>
      <w:r w:rsidR="00545C9D" w:rsidRPr="00721D25">
        <w:t xml:space="preserve">План </w:t>
      </w:r>
      <w:r w:rsidR="00545C9D">
        <w:t>мероприятий направлен</w:t>
      </w:r>
      <w:r w:rsidRPr="00721D25">
        <w:t xml:space="preserve"> на реализацию целевого сценария Стратегии.</w:t>
      </w:r>
    </w:p>
    <w:p w14:paraId="5F5AFC15" w14:textId="77777777" w:rsidR="00BB3E17" w:rsidRDefault="00BB3E17" w:rsidP="00A93D7F">
      <w:r w:rsidRPr="00D621CC">
        <w:t>Реализация Плана осуществляется</w:t>
      </w:r>
      <w:r>
        <w:t xml:space="preserve"> в</w:t>
      </w:r>
      <w:r w:rsidRPr="00D621CC">
        <w:t xml:space="preserve"> три этапа. </w:t>
      </w:r>
    </w:p>
    <w:p w14:paraId="4085A4F2" w14:textId="5E55DC70" w:rsidR="00BB3E17" w:rsidRDefault="00545C9D" w:rsidP="00A93D7F">
      <w:r>
        <w:rPr>
          <w:lang w:val="en-US"/>
        </w:rPr>
        <w:t>I</w:t>
      </w:r>
      <w:r w:rsidR="00BB3E17">
        <w:t xml:space="preserve"> </w:t>
      </w:r>
      <w:r w:rsidR="00BB3E17" w:rsidRPr="00D621CC">
        <w:t>этап (201</w:t>
      </w:r>
      <w:r w:rsidR="00721B6F">
        <w:t>8</w:t>
      </w:r>
      <w:r w:rsidR="00BB3E17" w:rsidRPr="00D621CC">
        <w:t>-20</w:t>
      </w:r>
      <w:r w:rsidR="00BB3E17">
        <w:t>20</w:t>
      </w:r>
      <w:r w:rsidR="00BB3E17" w:rsidRPr="00D621CC">
        <w:t xml:space="preserve"> годы) предполагает:</w:t>
      </w:r>
    </w:p>
    <w:p w14:paraId="6215A04B" w14:textId="76C7DB1E" w:rsidR="00BB3E17" w:rsidRDefault="00BB3E17" w:rsidP="00A93D7F">
      <w:pPr>
        <w:pStyle w:val="a0"/>
        <w:numPr>
          <w:ilvl w:val="0"/>
          <w:numId w:val="22"/>
        </w:numPr>
      </w:pPr>
      <w:r w:rsidRPr="00D621CC">
        <w:t xml:space="preserve">подготовку </w:t>
      </w:r>
      <w:r>
        <w:t>к</w:t>
      </w:r>
      <w:r w:rsidRPr="00D621CC">
        <w:t xml:space="preserve"> реализаци</w:t>
      </w:r>
      <w:r>
        <w:t>и</w:t>
      </w:r>
      <w:r w:rsidRPr="00D621CC">
        <w:t xml:space="preserve"> инвестиционных проектов </w:t>
      </w:r>
      <w:r>
        <w:t xml:space="preserve">в сферах </w:t>
      </w:r>
      <w:r w:rsidRPr="00D621CC">
        <w:t>промышленности, сельск</w:t>
      </w:r>
      <w:r>
        <w:t>ого</w:t>
      </w:r>
      <w:r w:rsidRPr="00D621CC">
        <w:t xml:space="preserve"> хозяйств</w:t>
      </w:r>
      <w:r>
        <w:t>а и</w:t>
      </w:r>
      <w:r w:rsidRPr="00D621CC">
        <w:t xml:space="preserve"> инфраструктур</w:t>
      </w:r>
      <w:r>
        <w:t>ного комплекса</w:t>
      </w:r>
      <w:r w:rsidRPr="00D621CC">
        <w:t>;</w:t>
      </w:r>
    </w:p>
    <w:p w14:paraId="72B348EA" w14:textId="3F585C53" w:rsidR="00BB3E17" w:rsidRDefault="00BB3E17" w:rsidP="00A93D7F">
      <w:pPr>
        <w:pStyle w:val="a0"/>
        <w:numPr>
          <w:ilvl w:val="0"/>
          <w:numId w:val="22"/>
        </w:numPr>
      </w:pPr>
      <w:r w:rsidRPr="00D621CC">
        <w:t>развитие новых видов деятельности</w:t>
      </w:r>
      <w:r>
        <w:t>,</w:t>
      </w:r>
      <w:r w:rsidRPr="00D621CC">
        <w:t xml:space="preserve"> создание условий для привлечения </w:t>
      </w:r>
      <w:r>
        <w:t>организаций и предприятий</w:t>
      </w:r>
      <w:r w:rsidRPr="00D621CC">
        <w:t xml:space="preserve"> </w:t>
      </w:r>
      <w:r>
        <w:t xml:space="preserve">в </w:t>
      </w:r>
      <w:r w:rsidRPr="00D621CC">
        <w:t>приоритетных секторах экономики;</w:t>
      </w:r>
    </w:p>
    <w:p w14:paraId="630139E2" w14:textId="52229052" w:rsidR="00BB3E17" w:rsidRDefault="00BB3E17" w:rsidP="00A93D7F">
      <w:pPr>
        <w:pStyle w:val="a0"/>
        <w:numPr>
          <w:ilvl w:val="0"/>
          <w:numId w:val="22"/>
        </w:numPr>
      </w:pPr>
      <w:r w:rsidRPr="00D621CC">
        <w:t>повышение эффективности деятельности предприятий пут</w:t>
      </w:r>
      <w:r>
        <w:t>е</w:t>
      </w:r>
      <w:r w:rsidRPr="00D621CC">
        <w:t xml:space="preserve">м </w:t>
      </w:r>
      <w:r>
        <w:t xml:space="preserve">модернизации оборудования, </w:t>
      </w:r>
      <w:r w:rsidRPr="00D621CC">
        <w:t>внедрени</w:t>
      </w:r>
      <w:r>
        <w:t>я новых технологий производства.</w:t>
      </w:r>
    </w:p>
    <w:p w14:paraId="41167D20" w14:textId="50587A75" w:rsidR="00BB3E17" w:rsidRDefault="00BB3E17" w:rsidP="00A93D7F">
      <w:r>
        <w:t>2</w:t>
      </w:r>
      <w:r w:rsidRPr="00D621CC">
        <w:t xml:space="preserve"> этап (20</w:t>
      </w:r>
      <w:r w:rsidR="00721B6F">
        <w:t>21</w:t>
      </w:r>
      <w:r w:rsidRPr="00D621CC">
        <w:t>-202</w:t>
      </w:r>
      <w:r>
        <w:t>5</w:t>
      </w:r>
      <w:r w:rsidRPr="00D621CC">
        <w:t xml:space="preserve"> годы) предполагает:</w:t>
      </w:r>
    </w:p>
    <w:p w14:paraId="16CB0F4B" w14:textId="5CDA4BD3" w:rsidR="00BB3E17" w:rsidRDefault="00BB3E17" w:rsidP="00A93D7F">
      <w:pPr>
        <w:pStyle w:val="a0"/>
        <w:numPr>
          <w:ilvl w:val="0"/>
          <w:numId w:val="23"/>
        </w:numPr>
      </w:pPr>
      <w:r w:rsidRPr="00D621CC">
        <w:t xml:space="preserve">реализацию инвестиционных проектов </w:t>
      </w:r>
      <w:r>
        <w:t xml:space="preserve">в сферах </w:t>
      </w:r>
      <w:r w:rsidRPr="00D621CC">
        <w:t>промышленности, сельск</w:t>
      </w:r>
      <w:r>
        <w:t>ого</w:t>
      </w:r>
      <w:r w:rsidRPr="00D621CC">
        <w:t xml:space="preserve"> хозяйств</w:t>
      </w:r>
      <w:r>
        <w:t>а и</w:t>
      </w:r>
      <w:r w:rsidRPr="00D621CC">
        <w:t xml:space="preserve"> инфраструктур</w:t>
      </w:r>
      <w:r>
        <w:t>ного комплекса</w:t>
      </w:r>
      <w:r w:rsidRPr="00D621CC">
        <w:t>;</w:t>
      </w:r>
    </w:p>
    <w:p w14:paraId="07165B7C" w14:textId="1BF1D665" w:rsidR="00BB3E17" w:rsidRDefault="00BB3E17" w:rsidP="00A93D7F">
      <w:pPr>
        <w:pStyle w:val="a0"/>
        <w:numPr>
          <w:ilvl w:val="0"/>
          <w:numId w:val="23"/>
        </w:numPr>
      </w:pPr>
      <w:r w:rsidRPr="00D621CC">
        <w:t xml:space="preserve">улучшение позиции </w:t>
      </w:r>
      <w:r>
        <w:t>района в</w:t>
      </w:r>
      <w:r w:rsidRPr="00D621CC">
        <w:t xml:space="preserve"> рейтингах инвестиционной активности</w:t>
      </w:r>
      <w:r>
        <w:t>,</w:t>
      </w:r>
      <w:r w:rsidRPr="00D621CC">
        <w:t xml:space="preserve"> рейтингах качества жизни. </w:t>
      </w:r>
    </w:p>
    <w:p w14:paraId="7FC0501A" w14:textId="6408B359" w:rsidR="00BB3E17" w:rsidRDefault="00BB3E17" w:rsidP="00A93D7F">
      <w:r>
        <w:t>3</w:t>
      </w:r>
      <w:r w:rsidRPr="00D621CC">
        <w:t xml:space="preserve"> этап (202</w:t>
      </w:r>
      <w:r w:rsidR="00721B6F">
        <w:t>6</w:t>
      </w:r>
      <w:r w:rsidRPr="00D621CC">
        <w:t>-20</w:t>
      </w:r>
      <w:r>
        <w:t>30</w:t>
      </w:r>
      <w:r w:rsidRPr="00D621CC">
        <w:t xml:space="preserve"> годы) предполагает:</w:t>
      </w:r>
    </w:p>
    <w:p w14:paraId="0FCDEE28" w14:textId="08888CE6" w:rsidR="00BB3E17" w:rsidRDefault="00BB3E17" w:rsidP="00A93D7F">
      <w:pPr>
        <w:pStyle w:val="a0"/>
        <w:numPr>
          <w:ilvl w:val="0"/>
          <w:numId w:val="24"/>
        </w:numPr>
      </w:pPr>
      <w:r w:rsidRPr="00D621CC">
        <w:t xml:space="preserve">реализацию проектов </w:t>
      </w:r>
      <w:r>
        <w:t xml:space="preserve">в </w:t>
      </w:r>
      <w:r w:rsidRPr="00D621CC">
        <w:t>новых секторах экономики, создание передовых производственных технологий</w:t>
      </w:r>
      <w:r>
        <w:t xml:space="preserve"> в</w:t>
      </w:r>
      <w:r w:rsidRPr="00D621CC">
        <w:t xml:space="preserve"> приоритетных секторах экономики, создание инновационной инфраструктуры для развития бизнеса;</w:t>
      </w:r>
    </w:p>
    <w:p w14:paraId="6A363FFB" w14:textId="75468B7E" w:rsidR="00BB3E17" w:rsidRDefault="00BB3E17" w:rsidP="00A93D7F">
      <w:pPr>
        <w:pStyle w:val="a0"/>
        <w:numPr>
          <w:ilvl w:val="0"/>
          <w:numId w:val="24"/>
        </w:numPr>
      </w:pPr>
      <w:r w:rsidRPr="00D621CC">
        <w:t>снижение доли нефте</w:t>
      </w:r>
      <w:r>
        <w:t>газо</w:t>
      </w:r>
      <w:r w:rsidRPr="00D621CC">
        <w:t>добывающего сектора экономик</w:t>
      </w:r>
      <w:r>
        <w:t>и в связи с</w:t>
      </w:r>
      <w:r w:rsidRPr="00D621CC">
        <w:t xml:space="preserve"> развитием </w:t>
      </w:r>
      <w:r>
        <w:t>диверсифицирующ</w:t>
      </w:r>
      <w:r w:rsidRPr="00D621CC">
        <w:t>их отраслей;</w:t>
      </w:r>
    </w:p>
    <w:p w14:paraId="3E417D04" w14:textId="0F4BE747" w:rsidR="00BB3E17" w:rsidRDefault="00BB3E17" w:rsidP="00A93D7F">
      <w:pPr>
        <w:pStyle w:val="a0"/>
        <w:numPr>
          <w:ilvl w:val="0"/>
          <w:numId w:val="24"/>
        </w:numPr>
      </w:pPr>
      <w:r w:rsidRPr="00D621CC">
        <w:t>повышение качества жизни</w:t>
      </w:r>
      <w:r>
        <w:t xml:space="preserve"> населения Нефтеюганского района.</w:t>
      </w:r>
    </w:p>
    <w:p w14:paraId="7165CD74" w14:textId="77777777" w:rsidR="00BB3E17" w:rsidRDefault="00BB3E17" w:rsidP="00A93D7F">
      <w:r>
        <w:t xml:space="preserve">План </w:t>
      </w:r>
      <w:r w:rsidRPr="00D621CC">
        <w:t xml:space="preserve">закрепляет обязательства </w:t>
      </w:r>
      <w:r>
        <w:t xml:space="preserve">органов местного самоуправления Нефтеюганского района </w:t>
      </w:r>
      <w:r w:rsidRPr="00D621CC">
        <w:t xml:space="preserve">перед населением </w:t>
      </w:r>
      <w:r>
        <w:t xml:space="preserve">и </w:t>
      </w:r>
      <w:r w:rsidRPr="00D621CC">
        <w:t>представляет собой систему действий исполнителей по</w:t>
      </w:r>
      <w:r>
        <w:t xml:space="preserve"> реализации Плана, устанавливает необходимость своевременного внесения изменений в муниципальные программы для обеспечения </w:t>
      </w:r>
      <w:r w:rsidRPr="00D621CC">
        <w:t xml:space="preserve">реализации стратегических целей, задач по приоритетным направлениям социально-экономического развития </w:t>
      </w:r>
      <w:r>
        <w:t>Нефтеюганского района ответственными органами государственной исполнительной власти и структурными подразделениями администрации Нефтеюганского района.</w:t>
      </w:r>
    </w:p>
    <w:p w14:paraId="25713FF0" w14:textId="77777777" w:rsidR="00BB3E17" w:rsidRDefault="00BB3E17" w:rsidP="00A93D7F">
      <w:r w:rsidRPr="000C5241">
        <w:t>Для достижения целей Плана предполагается использовать программно-целевой принцип управления, финансово-кредитные механизмы, правовые</w:t>
      </w:r>
      <w:r>
        <w:t xml:space="preserve"> и</w:t>
      </w:r>
      <w:r w:rsidRPr="000C5241">
        <w:t xml:space="preserve"> информационные механизмы. </w:t>
      </w:r>
    </w:p>
    <w:p w14:paraId="04AE9CA7" w14:textId="77777777" w:rsidR="00BB3E17" w:rsidRDefault="00BB3E17" w:rsidP="00A93D7F">
      <w:r w:rsidRPr="000C5241">
        <w:t xml:space="preserve">Цели, задачи Плана, механизмы их реализации учитываются при разработке проектов </w:t>
      </w:r>
      <w:r>
        <w:t>муниципальных нормативных и правовых актов Нефтеюганского района</w:t>
      </w:r>
      <w:r w:rsidRPr="000C5241">
        <w:t xml:space="preserve">, том числе </w:t>
      </w:r>
      <w:r>
        <w:t xml:space="preserve">о </w:t>
      </w:r>
      <w:r w:rsidRPr="000C5241">
        <w:t xml:space="preserve">бюджете на очередной финансовый год плановый период, проектов </w:t>
      </w:r>
      <w:r>
        <w:t>муниципальных</w:t>
      </w:r>
      <w:r w:rsidRPr="000C5241">
        <w:t xml:space="preserve"> программ</w:t>
      </w:r>
      <w:r>
        <w:t xml:space="preserve"> и</w:t>
      </w:r>
      <w:r w:rsidRPr="000C5241">
        <w:t xml:space="preserve"> других проектов.</w:t>
      </w:r>
    </w:p>
    <w:p w14:paraId="79A2F141" w14:textId="528156E5" w:rsidR="00721B6F" w:rsidRDefault="00BB3E17" w:rsidP="00A93D7F">
      <w:pPr>
        <w:rPr>
          <w:lang w:eastAsia="x-none"/>
        </w:rPr>
        <w:sectPr w:rsidR="00721B6F" w:rsidSect="00BB3E17">
          <w:pgSz w:w="11900" w:h="16840"/>
          <w:pgMar w:top="1134" w:right="850" w:bottom="1134" w:left="1701" w:header="708" w:footer="708" w:gutter="0"/>
          <w:cols w:space="708"/>
          <w:docGrid w:linePitch="360"/>
        </w:sectPr>
      </w:pPr>
      <w:r w:rsidRPr="00064F2F">
        <w:rPr>
          <w:lang w:eastAsia="x-none"/>
        </w:rPr>
        <w:t>В целях достижения стратегических целей</w:t>
      </w:r>
      <w:r>
        <w:rPr>
          <w:lang w:eastAsia="x-none"/>
        </w:rPr>
        <w:t>, контрольных показателей (</w:t>
      </w:r>
      <w:r w:rsidRPr="00064F2F">
        <w:t>индикаторов</w:t>
      </w:r>
      <w:r>
        <w:t>)</w:t>
      </w:r>
      <w:r w:rsidRPr="00064F2F">
        <w:t xml:space="preserve"> социально-экономического развития</w:t>
      </w:r>
      <w:r>
        <w:t xml:space="preserve">, указанных в </w:t>
      </w:r>
      <w:r w:rsidRPr="00E90FEB">
        <w:t>разделе «</w:t>
      </w:r>
      <w:r w:rsidRPr="00985613">
        <w:t>Система показателей (индикаторов) социально-экономического развития по выбранному сценарию»</w:t>
      </w:r>
      <w:r w:rsidRPr="00E90FEB">
        <w:t xml:space="preserve"> Стратегии</w:t>
      </w:r>
      <w:r>
        <w:t>,</w:t>
      </w:r>
      <w:r w:rsidRPr="00064F2F">
        <w:t xml:space="preserve"> </w:t>
      </w:r>
      <w:r>
        <w:t xml:space="preserve">ответственным исполнителям </w:t>
      </w:r>
      <w:r w:rsidRPr="00064F2F">
        <w:rPr>
          <w:lang w:eastAsia="x-none"/>
        </w:rPr>
        <w:t xml:space="preserve">необходимо обеспечить </w:t>
      </w:r>
      <w:r w:rsidRPr="00064F2F">
        <w:rPr>
          <w:lang w:eastAsia="x-none"/>
        </w:rPr>
        <w:lastRenderedPageBreak/>
        <w:t xml:space="preserve">актуализацию </w:t>
      </w:r>
      <w:r>
        <w:rPr>
          <w:lang w:eastAsia="x-none"/>
        </w:rPr>
        <w:t xml:space="preserve">и выполнение мероприятий по реализации </w:t>
      </w:r>
      <w:r w:rsidRPr="00064F2F">
        <w:rPr>
          <w:lang w:eastAsia="x-none"/>
        </w:rPr>
        <w:t>муниципальных программ Нефтеюганского района.</w:t>
      </w:r>
    </w:p>
    <w:p w14:paraId="2BC24F2F" w14:textId="77777777" w:rsidR="0039117B" w:rsidRPr="007B2F9D" w:rsidRDefault="0039117B" w:rsidP="00A93D7F">
      <w:pPr>
        <w:rPr>
          <w:b/>
        </w:rPr>
      </w:pPr>
      <w:r w:rsidRPr="007B2F9D">
        <w:rPr>
          <w:b/>
        </w:rPr>
        <w:lastRenderedPageBreak/>
        <w:t xml:space="preserve">Таблица </w:t>
      </w:r>
      <w:r w:rsidR="00F20489" w:rsidRPr="007B2F9D">
        <w:rPr>
          <w:b/>
        </w:rPr>
        <w:fldChar w:fldCharType="begin"/>
      </w:r>
      <w:r w:rsidR="00F20489" w:rsidRPr="007B2F9D">
        <w:rPr>
          <w:b/>
        </w:rPr>
        <w:instrText xml:space="preserve"> SEQ Таблица \* ARABIC </w:instrText>
      </w:r>
      <w:r w:rsidR="00F20489" w:rsidRPr="007B2F9D">
        <w:rPr>
          <w:b/>
        </w:rPr>
        <w:fldChar w:fldCharType="separate"/>
      </w:r>
      <w:r w:rsidR="00ED1BAA">
        <w:rPr>
          <w:b/>
          <w:noProof/>
        </w:rPr>
        <w:t>2</w:t>
      </w:r>
      <w:r w:rsidR="00F20489" w:rsidRPr="007B2F9D">
        <w:rPr>
          <w:b/>
          <w:noProof/>
        </w:rPr>
        <w:fldChar w:fldCharType="end"/>
      </w:r>
    </w:p>
    <w:p w14:paraId="67607370" w14:textId="2F55A615" w:rsidR="008B3F4F" w:rsidRPr="00747E7A" w:rsidRDefault="00D668AA" w:rsidP="00A93D7F">
      <w:pPr>
        <w:rPr>
          <w:b/>
        </w:rPr>
      </w:pPr>
      <w:r w:rsidRPr="00747E7A">
        <w:rPr>
          <w:b/>
        </w:rPr>
        <w:t>План мероприятий по реализации Стратегии Нефтеюга</w:t>
      </w:r>
      <w:r w:rsidR="00754A26" w:rsidRPr="00747E7A">
        <w:rPr>
          <w:b/>
        </w:rPr>
        <w:t>нского</w:t>
      </w:r>
      <w:r w:rsidRPr="00747E7A">
        <w:rPr>
          <w:b/>
        </w:rPr>
        <w:t xml:space="preserve"> района на период до 2030 г.</w:t>
      </w:r>
      <w:r w:rsidR="00962479" w:rsidRPr="00747E7A">
        <w:rPr>
          <w:b/>
        </w:rPr>
        <w:t xml:space="preserve"> </w:t>
      </w:r>
    </w:p>
    <w:tbl>
      <w:tblPr>
        <w:tblStyle w:val="ab"/>
        <w:tblpPr w:leftFromText="180" w:rightFromText="180" w:horzAnchor="page" w:tblpX="1210" w:tblpY="817"/>
        <w:tblW w:w="14626" w:type="dxa"/>
        <w:tblLook w:val="04A0" w:firstRow="1" w:lastRow="0" w:firstColumn="1" w:lastColumn="0" w:noHBand="0" w:noVBand="1"/>
      </w:tblPr>
      <w:tblGrid>
        <w:gridCol w:w="3642"/>
        <w:gridCol w:w="3078"/>
        <w:gridCol w:w="1484"/>
        <w:gridCol w:w="2845"/>
        <w:gridCol w:w="3577"/>
      </w:tblGrid>
      <w:tr w:rsidR="008B3F4F" w:rsidRPr="00747E7A" w14:paraId="02A62642" w14:textId="77777777" w:rsidTr="00FA0783">
        <w:trPr>
          <w:trHeight w:val="694"/>
        </w:trPr>
        <w:tc>
          <w:tcPr>
            <w:tcW w:w="3642" w:type="dxa"/>
            <w:vAlign w:val="center"/>
          </w:tcPr>
          <w:p w14:paraId="59B764EE" w14:textId="5C39C881" w:rsidR="008B3F4F" w:rsidRPr="00747E7A" w:rsidRDefault="00526433" w:rsidP="00956FCF">
            <w:pPr>
              <w:ind w:firstLine="0"/>
              <w:jc w:val="center"/>
              <w:rPr>
                <w:sz w:val="20"/>
                <w:szCs w:val="20"/>
              </w:rPr>
            </w:pPr>
            <w:r w:rsidRPr="00747E7A">
              <w:rPr>
                <w:sz w:val="20"/>
                <w:szCs w:val="20"/>
              </w:rPr>
              <w:t>Н</w:t>
            </w:r>
            <w:r w:rsidR="008B3F4F" w:rsidRPr="00747E7A">
              <w:rPr>
                <w:sz w:val="20"/>
                <w:szCs w:val="20"/>
              </w:rPr>
              <w:t>аправление/ Цель/Задача</w:t>
            </w:r>
          </w:p>
        </w:tc>
        <w:tc>
          <w:tcPr>
            <w:tcW w:w="3078" w:type="dxa"/>
            <w:vAlign w:val="center"/>
          </w:tcPr>
          <w:p w14:paraId="6BA7E124" w14:textId="77777777" w:rsidR="008B3F4F" w:rsidRPr="00747E7A" w:rsidRDefault="008B3F4F" w:rsidP="00956FCF">
            <w:pPr>
              <w:ind w:firstLine="0"/>
              <w:jc w:val="center"/>
              <w:rPr>
                <w:sz w:val="20"/>
                <w:szCs w:val="20"/>
              </w:rPr>
            </w:pPr>
            <w:r w:rsidRPr="00747E7A">
              <w:rPr>
                <w:sz w:val="20"/>
                <w:szCs w:val="20"/>
              </w:rPr>
              <w:t>Содержание мероприятия</w:t>
            </w:r>
          </w:p>
        </w:tc>
        <w:tc>
          <w:tcPr>
            <w:tcW w:w="1484" w:type="dxa"/>
            <w:vAlign w:val="center"/>
          </w:tcPr>
          <w:p w14:paraId="22750463" w14:textId="77777777" w:rsidR="008B3F4F" w:rsidRPr="00747E7A" w:rsidRDefault="008B3F4F" w:rsidP="00956FCF">
            <w:pPr>
              <w:ind w:firstLine="0"/>
              <w:jc w:val="center"/>
              <w:rPr>
                <w:sz w:val="20"/>
                <w:szCs w:val="20"/>
              </w:rPr>
            </w:pPr>
            <w:r w:rsidRPr="00747E7A">
              <w:rPr>
                <w:sz w:val="20"/>
                <w:szCs w:val="20"/>
              </w:rPr>
              <w:t>Срок реализации</w:t>
            </w:r>
          </w:p>
        </w:tc>
        <w:tc>
          <w:tcPr>
            <w:tcW w:w="2845" w:type="dxa"/>
            <w:vAlign w:val="center"/>
          </w:tcPr>
          <w:p w14:paraId="7E36096D" w14:textId="77777777" w:rsidR="008B3F4F" w:rsidRPr="00747E7A" w:rsidRDefault="008B3F4F" w:rsidP="00956FCF">
            <w:pPr>
              <w:ind w:firstLine="0"/>
              <w:jc w:val="center"/>
              <w:rPr>
                <w:sz w:val="20"/>
                <w:szCs w:val="20"/>
              </w:rPr>
            </w:pPr>
            <w:r w:rsidRPr="00747E7A">
              <w:rPr>
                <w:sz w:val="20"/>
                <w:szCs w:val="20"/>
              </w:rPr>
              <w:t>Источник финансового/ресурсного обеспечения</w:t>
            </w:r>
          </w:p>
        </w:tc>
        <w:tc>
          <w:tcPr>
            <w:tcW w:w="3577" w:type="dxa"/>
            <w:vAlign w:val="center"/>
          </w:tcPr>
          <w:p w14:paraId="7A149507" w14:textId="77777777" w:rsidR="008B3F4F" w:rsidRPr="00747E7A" w:rsidRDefault="008B3F4F" w:rsidP="00956FCF">
            <w:pPr>
              <w:ind w:firstLine="0"/>
              <w:jc w:val="center"/>
              <w:rPr>
                <w:sz w:val="20"/>
                <w:szCs w:val="20"/>
              </w:rPr>
            </w:pPr>
            <w:r w:rsidRPr="00747E7A">
              <w:rPr>
                <w:sz w:val="20"/>
                <w:szCs w:val="20"/>
              </w:rPr>
              <w:t>Ответственные исполнители (структурные подразделения администрации)</w:t>
            </w:r>
          </w:p>
        </w:tc>
      </w:tr>
      <w:tr w:rsidR="008B3F4F" w:rsidRPr="00747E7A" w14:paraId="6316FDA5" w14:textId="77777777" w:rsidTr="00993D3C">
        <w:trPr>
          <w:trHeight w:val="367"/>
        </w:trPr>
        <w:tc>
          <w:tcPr>
            <w:tcW w:w="14626" w:type="dxa"/>
            <w:gridSpan w:val="5"/>
            <w:vAlign w:val="center"/>
          </w:tcPr>
          <w:p w14:paraId="3B165711" w14:textId="5F662BA6" w:rsidR="008B3F4F" w:rsidRPr="00747E7A" w:rsidRDefault="005F7694" w:rsidP="00747E7A">
            <w:pPr>
              <w:ind w:firstLine="0"/>
              <w:jc w:val="center"/>
              <w:rPr>
                <w:b/>
                <w:sz w:val="20"/>
                <w:szCs w:val="20"/>
              </w:rPr>
            </w:pPr>
            <w:r w:rsidRPr="00747E7A">
              <w:rPr>
                <w:b/>
                <w:sz w:val="20"/>
                <w:szCs w:val="20"/>
              </w:rPr>
              <w:t>Приоритет «</w:t>
            </w:r>
            <w:r w:rsidRPr="00747E7A">
              <w:rPr>
                <w:b/>
                <w:sz w:val="20"/>
                <w:szCs w:val="20"/>
                <w:shd w:val="clear" w:color="auto" w:fill="FFFFFF"/>
              </w:rPr>
              <w:t>Накопление и сохранение человеческого капитала»</w:t>
            </w:r>
          </w:p>
        </w:tc>
      </w:tr>
      <w:tr w:rsidR="001B5D56" w:rsidRPr="00747E7A" w14:paraId="5544694E" w14:textId="77777777" w:rsidTr="00FA0783">
        <w:trPr>
          <w:trHeight w:val="493"/>
        </w:trPr>
        <w:tc>
          <w:tcPr>
            <w:tcW w:w="3642" w:type="dxa"/>
            <w:vMerge w:val="restart"/>
          </w:tcPr>
          <w:p w14:paraId="79262AF4" w14:textId="53A25796" w:rsidR="001B5D56" w:rsidRPr="00747E7A" w:rsidRDefault="001B5D56" w:rsidP="00747E7A">
            <w:pPr>
              <w:ind w:firstLine="0"/>
              <w:rPr>
                <w:sz w:val="20"/>
                <w:szCs w:val="20"/>
              </w:rPr>
            </w:pPr>
            <w:r w:rsidRPr="00747E7A">
              <w:rPr>
                <w:sz w:val="20"/>
                <w:szCs w:val="20"/>
              </w:rPr>
              <w:t>Направление «Доступное здравоохранение»</w:t>
            </w:r>
          </w:p>
        </w:tc>
        <w:tc>
          <w:tcPr>
            <w:tcW w:w="3078" w:type="dxa"/>
          </w:tcPr>
          <w:p w14:paraId="484AC488" w14:textId="3C6C552E" w:rsidR="001B5D56" w:rsidRPr="00747E7A" w:rsidRDefault="001B5D56" w:rsidP="00747E7A">
            <w:pPr>
              <w:ind w:firstLine="0"/>
              <w:rPr>
                <w:sz w:val="20"/>
                <w:szCs w:val="20"/>
              </w:rPr>
            </w:pPr>
            <w:r w:rsidRPr="00747E7A">
              <w:rPr>
                <w:sz w:val="20"/>
                <w:szCs w:val="20"/>
              </w:rPr>
              <w:t>Комплекс мероприятий по повышению эффективности функционирования системы здравоохранения</w:t>
            </w:r>
          </w:p>
        </w:tc>
        <w:tc>
          <w:tcPr>
            <w:tcW w:w="1484" w:type="dxa"/>
          </w:tcPr>
          <w:p w14:paraId="66719F48" w14:textId="77777777" w:rsidR="001B5D56" w:rsidRPr="00747E7A" w:rsidRDefault="001B5D56" w:rsidP="00956FCF">
            <w:pPr>
              <w:ind w:firstLine="0"/>
              <w:rPr>
                <w:sz w:val="20"/>
                <w:szCs w:val="20"/>
              </w:rPr>
            </w:pPr>
            <w:r w:rsidRPr="00747E7A">
              <w:rPr>
                <w:sz w:val="20"/>
                <w:szCs w:val="20"/>
              </w:rPr>
              <w:t>2018-2020</w:t>
            </w:r>
          </w:p>
          <w:p w14:paraId="2FF87D2D" w14:textId="77777777" w:rsidR="001B5D56" w:rsidRPr="00747E7A" w:rsidRDefault="001B5D56" w:rsidP="00956FCF">
            <w:pPr>
              <w:ind w:firstLine="0"/>
              <w:rPr>
                <w:sz w:val="20"/>
                <w:szCs w:val="20"/>
              </w:rPr>
            </w:pPr>
            <w:r w:rsidRPr="00747E7A">
              <w:rPr>
                <w:sz w:val="20"/>
                <w:szCs w:val="20"/>
              </w:rPr>
              <w:t>2021-2025</w:t>
            </w:r>
          </w:p>
          <w:p w14:paraId="776272D7" w14:textId="6AE6F007" w:rsidR="001B5D56" w:rsidRPr="00747E7A" w:rsidRDefault="001B5D56" w:rsidP="00956FCF">
            <w:pPr>
              <w:ind w:firstLine="0"/>
              <w:rPr>
                <w:sz w:val="20"/>
                <w:szCs w:val="20"/>
              </w:rPr>
            </w:pPr>
            <w:r w:rsidRPr="00747E7A">
              <w:rPr>
                <w:sz w:val="20"/>
                <w:szCs w:val="20"/>
              </w:rPr>
              <w:t>2026-2030</w:t>
            </w:r>
          </w:p>
        </w:tc>
        <w:tc>
          <w:tcPr>
            <w:tcW w:w="2845" w:type="dxa"/>
          </w:tcPr>
          <w:p w14:paraId="16DC8F5B" w14:textId="28D5CBCF" w:rsidR="001B5D56" w:rsidRPr="00114969" w:rsidRDefault="001B5D56" w:rsidP="00114969">
            <w:pPr>
              <w:ind w:firstLine="0"/>
              <w:jc w:val="left"/>
              <w:rPr>
                <w:sz w:val="20"/>
                <w:szCs w:val="20"/>
              </w:rPr>
            </w:pPr>
            <w:r w:rsidRPr="00114969">
              <w:rPr>
                <w:sz w:val="20"/>
                <w:szCs w:val="20"/>
              </w:rPr>
              <w:t>бюджет автономного округа, районный бюджет</w:t>
            </w:r>
          </w:p>
        </w:tc>
        <w:tc>
          <w:tcPr>
            <w:tcW w:w="3577" w:type="dxa"/>
            <w:vMerge w:val="restart"/>
          </w:tcPr>
          <w:p w14:paraId="2674433E" w14:textId="198FF45C" w:rsidR="001B5D56" w:rsidRPr="00747E7A" w:rsidRDefault="001B5D56" w:rsidP="00847C3D">
            <w:pPr>
              <w:ind w:firstLine="0"/>
              <w:rPr>
                <w:sz w:val="20"/>
                <w:szCs w:val="20"/>
              </w:rPr>
            </w:pPr>
            <w:r w:rsidRPr="008A59C2">
              <w:rPr>
                <w:sz w:val="20"/>
                <w:szCs w:val="20"/>
              </w:rPr>
              <w:t>Бюджетное учреждение</w:t>
            </w:r>
            <w:r>
              <w:rPr>
                <w:sz w:val="20"/>
                <w:szCs w:val="20"/>
              </w:rPr>
              <w:t xml:space="preserve"> </w:t>
            </w:r>
            <w:r w:rsidRPr="008A59C2">
              <w:rPr>
                <w:sz w:val="20"/>
                <w:szCs w:val="20"/>
              </w:rPr>
              <w:t>Ханты-Манси</w:t>
            </w:r>
            <w:r>
              <w:rPr>
                <w:sz w:val="20"/>
                <w:szCs w:val="20"/>
              </w:rPr>
              <w:t>йского автономного округа – Югры Нефтеюганской районной больницы</w:t>
            </w:r>
          </w:p>
        </w:tc>
      </w:tr>
      <w:tr w:rsidR="001B5D56" w:rsidRPr="00747E7A" w14:paraId="319AC20D" w14:textId="77777777" w:rsidTr="00FA0783">
        <w:trPr>
          <w:trHeight w:val="381"/>
        </w:trPr>
        <w:tc>
          <w:tcPr>
            <w:tcW w:w="3642" w:type="dxa"/>
            <w:vMerge/>
          </w:tcPr>
          <w:p w14:paraId="2B0DB6F0" w14:textId="42D18DD8" w:rsidR="001B5D56" w:rsidRPr="00747E7A" w:rsidRDefault="001B5D56" w:rsidP="00747E7A">
            <w:pPr>
              <w:ind w:firstLine="0"/>
              <w:rPr>
                <w:sz w:val="20"/>
                <w:szCs w:val="20"/>
              </w:rPr>
            </w:pPr>
          </w:p>
        </w:tc>
        <w:tc>
          <w:tcPr>
            <w:tcW w:w="3078" w:type="dxa"/>
          </w:tcPr>
          <w:p w14:paraId="482FE8A8" w14:textId="35ADDD44" w:rsidR="001B5D56" w:rsidRPr="00747E7A" w:rsidRDefault="001B5D56" w:rsidP="00747E7A">
            <w:pPr>
              <w:ind w:firstLine="0"/>
              <w:rPr>
                <w:sz w:val="20"/>
                <w:szCs w:val="20"/>
              </w:rPr>
            </w:pPr>
            <w:r w:rsidRPr="00747E7A">
              <w:rPr>
                <w:sz w:val="20"/>
                <w:szCs w:val="20"/>
              </w:rPr>
              <w:t>Комплекс мероприятий по улучшению состояния здоровья детей и матерей</w:t>
            </w:r>
          </w:p>
        </w:tc>
        <w:tc>
          <w:tcPr>
            <w:tcW w:w="1484" w:type="dxa"/>
          </w:tcPr>
          <w:p w14:paraId="38931DBA" w14:textId="77777777" w:rsidR="001B5D56" w:rsidRPr="00747E7A" w:rsidRDefault="001B5D56" w:rsidP="00956FCF">
            <w:pPr>
              <w:ind w:firstLine="0"/>
              <w:rPr>
                <w:sz w:val="20"/>
                <w:szCs w:val="20"/>
              </w:rPr>
            </w:pPr>
            <w:r w:rsidRPr="00747E7A">
              <w:rPr>
                <w:sz w:val="20"/>
                <w:szCs w:val="20"/>
              </w:rPr>
              <w:t>2018-2020</w:t>
            </w:r>
          </w:p>
          <w:p w14:paraId="7EE832AC" w14:textId="77777777" w:rsidR="001B5D56" w:rsidRPr="00747E7A" w:rsidRDefault="001B5D56" w:rsidP="00956FCF">
            <w:pPr>
              <w:ind w:firstLine="0"/>
              <w:rPr>
                <w:sz w:val="20"/>
                <w:szCs w:val="20"/>
              </w:rPr>
            </w:pPr>
            <w:r w:rsidRPr="00747E7A">
              <w:rPr>
                <w:sz w:val="20"/>
                <w:szCs w:val="20"/>
              </w:rPr>
              <w:t>2021-2025</w:t>
            </w:r>
          </w:p>
          <w:p w14:paraId="70FD5C34" w14:textId="2CECE2FA" w:rsidR="001B5D56" w:rsidRPr="00747E7A" w:rsidRDefault="001B5D56" w:rsidP="00956FCF">
            <w:pPr>
              <w:ind w:firstLine="0"/>
              <w:rPr>
                <w:sz w:val="20"/>
                <w:szCs w:val="20"/>
              </w:rPr>
            </w:pPr>
            <w:r w:rsidRPr="00747E7A">
              <w:rPr>
                <w:sz w:val="20"/>
                <w:szCs w:val="20"/>
              </w:rPr>
              <w:t>2026-2030</w:t>
            </w:r>
          </w:p>
        </w:tc>
        <w:tc>
          <w:tcPr>
            <w:tcW w:w="2845" w:type="dxa"/>
          </w:tcPr>
          <w:p w14:paraId="42C73BAA" w14:textId="31F2A1D3" w:rsidR="001B5D56" w:rsidRPr="00114969" w:rsidRDefault="001B5D56" w:rsidP="00114969">
            <w:pPr>
              <w:ind w:firstLine="0"/>
              <w:jc w:val="left"/>
              <w:rPr>
                <w:sz w:val="20"/>
                <w:szCs w:val="20"/>
              </w:rPr>
            </w:pPr>
            <w:r w:rsidRPr="00114969">
              <w:rPr>
                <w:sz w:val="20"/>
                <w:szCs w:val="20"/>
              </w:rPr>
              <w:t>бюджет автономного округа, районный бюджет</w:t>
            </w:r>
          </w:p>
        </w:tc>
        <w:tc>
          <w:tcPr>
            <w:tcW w:w="3577" w:type="dxa"/>
            <w:vMerge/>
          </w:tcPr>
          <w:p w14:paraId="7048BD80" w14:textId="77777777" w:rsidR="001B5D56" w:rsidRPr="00747E7A" w:rsidRDefault="001B5D56" w:rsidP="00747E7A">
            <w:pPr>
              <w:ind w:firstLine="0"/>
              <w:rPr>
                <w:sz w:val="20"/>
                <w:szCs w:val="20"/>
              </w:rPr>
            </w:pPr>
          </w:p>
        </w:tc>
      </w:tr>
      <w:tr w:rsidR="001B5D56" w:rsidRPr="00747E7A" w14:paraId="155E80EF" w14:textId="77777777" w:rsidTr="00FA0783">
        <w:trPr>
          <w:trHeight w:val="1094"/>
        </w:trPr>
        <w:tc>
          <w:tcPr>
            <w:tcW w:w="3642" w:type="dxa"/>
            <w:vMerge/>
          </w:tcPr>
          <w:p w14:paraId="005CBB29" w14:textId="77777777" w:rsidR="001B5D56" w:rsidRPr="00747E7A" w:rsidRDefault="001B5D56" w:rsidP="00747E7A">
            <w:pPr>
              <w:ind w:firstLine="0"/>
              <w:rPr>
                <w:sz w:val="20"/>
                <w:szCs w:val="20"/>
              </w:rPr>
            </w:pPr>
          </w:p>
        </w:tc>
        <w:tc>
          <w:tcPr>
            <w:tcW w:w="3078" w:type="dxa"/>
          </w:tcPr>
          <w:p w14:paraId="0084B192" w14:textId="567FFADD" w:rsidR="001B5D56" w:rsidRPr="00747E7A" w:rsidRDefault="001B5D56" w:rsidP="00747E7A">
            <w:pPr>
              <w:ind w:firstLine="0"/>
              <w:rPr>
                <w:sz w:val="20"/>
                <w:szCs w:val="20"/>
              </w:rPr>
            </w:pPr>
            <w:r w:rsidRPr="00747E7A">
              <w:rPr>
                <w:sz w:val="20"/>
                <w:szCs w:val="20"/>
              </w:rPr>
              <w:t>Комплекс мероприятий по снижению смертности от управляемых причин и предупреждению распространения социально значимых заболеваний</w:t>
            </w:r>
          </w:p>
        </w:tc>
        <w:tc>
          <w:tcPr>
            <w:tcW w:w="1484" w:type="dxa"/>
          </w:tcPr>
          <w:p w14:paraId="16CC5947" w14:textId="77777777" w:rsidR="001B5D56" w:rsidRPr="00747E7A" w:rsidRDefault="001B5D56" w:rsidP="00956FCF">
            <w:pPr>
              <w:ind w:firstLine="0"/>
              <w:rPr>
                <w:sz w:val="20"/>
                <w:szCs w:val="20"/>
              </w:rPr>
            </w:pPr>
            <w:r w:rsidRPr="00747E7A">
              <w:rPr>
                <w:sz w:val="20"/>
                <w:szCs w:val="20"/>
              </w:rPr>
              <w:t>2018-2020</w:t>
            </w:r>
          </w:p>
          <w:p w14:paraId="3889C512" w14:textId="77777777" w:rsidR="001B5D56" w:rsidRPr="00747E7A" w:rsidRDefault="001B5D56" w:rsidP="00956FCF">
            <w:pPr>
              <w:ind w:firstLine="0"/>
              <w:rPr>
                <w:sz w:val="20"/>
                <w:szCs w:val="20"/>
              </w:rPr>
            </w:pPr>
            <w:r w:rsidRPr="00747E7A">
              <w:rPr>
                <w:sz w:val="20"/>
                <w:szCs w:val="20"/>
              </w:rPr>
              <w:t>2021-2025</w:t>
            </w:r>
          </w:p>
          <w:p w14:paraId="7D9CDED1" w14:textId="185A19EF" w:rsidR="001B5D56" w:rsidRPr="00747E7A" w:rsidRDefault="001B5D56" w:rsidP="00956FCF">
            <w:pPr>
              <w:ind w:firstLine="0"/>
              <w:rPr>
                <w:sz w:val="20"/>
                <w:szCs w:val="20"/>
              </w:rPr>
            </w:pPr>
            <w:r w:rsidRPr="00747E7A">
              <w:rPr>
                <w:sz w:val="20"/>
                <w:szCs w:val="20"/>
              </w:rPr>
              <w:t>2026-2030</w:t>
            </w:r>
          </w:p>
        </w:tc>
        <w:tc>
          <w:tcPr>
            <w:tcW w:w="2845" w:type="dxa"/>
          </w:tcPr>
          <w:p w14:paraId="061CE9A8" w14:textId="0637DE83" w:rsidR="001B5D56" w:rsidRPr="00114969" w:rsidRDefault="001B5D56" w:rsidP="00114969">
            <w:pPr>
              <w:ind w:firstLine="0"/>
              <w:jc w:val="left"/>
              <w:rPr>
                <w:sz w:val="20"/>
                <w:szCs w:val="20"/>
              </w:rPr>
            </w:pPr>
            <w:r w:rsidRPr="00114969">
              <w:rPr>
                <w:sz w:val="20"/>
                <w:szCs w:val="20"/>
              </w:rPr>
              <w:t>бюджет автономного округа, районный бюджет</w:t>
            </w:r>
          </w:p>
        </w:tc>
        <w:tc>
          <w:tcPr>
            <w:tcW w:w="3577" w:type="dxa"/>
            <w:vMerge/>
          </w:tcPr>
          <w:p w14:paraId="1E3C964B" w14:textId="77777777" w:rsidR="001B5D56" w:rsidRPr="00747E7A" w:rsidRDefault="001B5D56" w:rsidP="00747E7A">
            <w:pPr>
              <w:ind w:firstLine="0"/>
              <w:rPr>
                <w:sz w:val="20"/>
                <w:szCs w:val="20"/>
              </w:rPr>
            </w:pPr>
          </w:p>
        </w:tc>
      </w:tr>
      <w:tr w:rsidR="001B5D56" w:rsidRPr="00747E7A" w14:paraId="4510F095" w14:textId="77777777" w:rsidTr="00FA0783">
        <w:trPr>
          <w:trHeight w:val="1094"/>
        </w:trPr>
        <w:tc>
          <w:tcPr>
            <w:tcW w:w="3642" w:type="dxa"/>
            <w:vMerge/>
          </w:tcPr>
          <w:p w14:paraId="048CC153" w14:textId="77777777" w:rsidR="001B5D56" w:rsidRPr="00747E7A" w:rsidRDefault="001B5D56" w:rsidP="00747E7A">
            <w:pPr>
              <w:ind w:firstLine="0"/>
              <w:rPr>
                <w:sz w:val="20"/>
                <w:szCs w:val="20"/>
              </w:rPr>
            </w:pPr>
          </w:p>
        </w:tc>
        <w:tc>
          <w:tcPr>
            <w:tcW w:w="3078" w:type="dxa"/>
          </w:tcPr>
          <w:p w14:paraId="26E12EA6" w14:textId="086690B0" w:rsidR="001B5D56" w:rsidRPr="00747E7A" w:rsidRDefault="001B5D56" w:rsidP="00747E7A">
            <w:pPr>
              <w:ind w:firstLine="0"/>
              <w:rPr>
                <w:sz w:val="20"/>
                <w:szCs w:val="20"/>
              </w:rPr>
            </w:pPr>
            <w:r w:rsidRPr="00747E7A">
              <w:rPr>
                <w:sz w:val="20"/>
                <w:szCs w:val="20"/>
              </w:rPr>
              <w:t>Комплекс мероприятий по формированию условий для развития здорового образа жизни: пропаганда здорового образа жизни, нравственное воспитание подрастающего поколения</w:t>
            </w:r>
          </w:p>
        </w:tc>
        <w:tc>
          <w:tcPr>
            <w:tcW w:w="1484" w:type="dxa"/>
          </w:tcPr>
          <w:p w14:paraId="53A1A9DC" w14:textId="77777777" w:rsidR="001B5D56" w:rsidRPr="00747E7A" w:rsidRDefault="001B5D56" w:rsidP="00956FCF">
            <w:pPr>
              <w:ind w:firstLine="0"/>
              <w:rPr>
                <w:sz w:val="20"/>
                <w:szCs w:val="20"/>
              </w:rPr>
            </w:pPr>
            <w:r w:rsidRPr="00747E7A">
              <w:rPr>
                <w:sz w:val="20"/>
                <w:szCs w:val="20"/>
              </w:rPr>
              <w:t>2018-2020</w:t>
            </w:r>
          </w:p>
          <w:p w14:paraId="7BFE340F" w14:textId="77777777" w:rsidR="001B5D56" w:rsidRPr="00747E7A" w:rsidRDefault="001B5D56" w:rsidP="00956FCF">
            <w:pPr>
              <w:ind w:firstLine="0"/>
              <w:rPr>
                <w:sz w:val="20"/>
                <w:szCs w:val="20"/>
              </w:rPr>
            </w:pPr>
            <w:r w:rsidRPr="00747E7A">
              <w:rPr>
                <w:sz w:val="20"/>
                <w:szCs w:val="20"/>
              </w:rPr>
              <w:t>2021-2025</w:t>
            </w:r>
          </w:p>
          <w:p w14:paraId="27C75133" w14:textId="62202D2A" w:rsidR="001B5D56" w:rsidRPr="00747E7A" w:rsidRDefault="001B5D56" w:rsidP="00956FCF">
            <w:pPr>
              <w:ind w:firstLine="0"/>
              <w:rPr>
                <w:sz w:val="20"/>
                <w:szCs w:val="20"/>
              </w:rPr>
            </w:pPr>
            <w:r w:rsidRPr="00747E7A">
              <w:rPr>
                <w:sz w:val="20"/>
                <w:szCs w:val="20"/>
              </w:rPr>
              <w:t>2026-2030</w:t>
            </w:r>
          </w:p>
        </w:tc>
        <w:tc>
          <w:tcPr>
            <w:tcW w:w="2845" w:type="dxa"/>
          </w:tcPr>
          <w:p w14:paraId="2482E287" w14:textId="09DFFE33" w:rsidR="001B5D56" w:rsidRPr="00114969" w:rsidRDefault="001B5D56" w:rsidP="00114969">
            <w:pPr>
              <w:ind w:firstLine="0"/>
              <w:jc w:val="left"/>
              <w:rPr>
                <w:sz w:val="20"/>
                <w:szCs w:val="20"/>
              </w:rPr>
            </w:pPr>
            <w:r w:rsidRPr="00114969">
              <w:rPr>
                <w:sz w:val="20"/>
                <w:szCs w:val="20"/>
              </w:rPr>
              <w:t>бюджет автономного округа, районный бюджет</w:t>
            </w:r>
          </w:p>
        </w:tc>
        <w:tc>
          <w:tcPr>
            <w:tcW w:w="3577" w:type="dxa"/>
            <w:vMerge/>
          </w:tcPr>
          <w:p w14:paraId="4C391615" w14:textId="77777777" w:rsidR="001B5D56" w:rsidRPr="00747E7A" w:rsidRDefault="001B5D56" w:rsidP="00747E7A">
            <w:pPr>
              <w:ind w:firstLine="0"/>
              <w:rPr>
                <w:sz w:val="20"/>
                <w:szCs w:val="20"/>
              </w:rPr>
            </w:pPr>
          </w:p>
        </w:tc>
      </w:tr>
      <w:tr w:rsidR="001B5D56" w:rsidRPr="00747E7A" w14:paraId="2A1D11E4" w14:textId="77777777" w:rsidTr="00FA0783">
        <w:trPr>
          <w:trHeight w:val="534"/>
        </w:trPr>
        <w:tc>
          <w:tcPr>
            <w:tcW w:w="3642" w:type="dxa"/>
            <w:vMerge w:val="restart"/>
          </w:tcPr>
          <w:p w14:paraId="260A21BC" w14:textId="6DBCEEFA" w:rsidR="001B5D56" w:rsidRPr="00747E7A" w:rsidRDefault="001B5D56" w:rsidP="00747E7A">
            <w:pPr>
              <w:ind w:firstLine="0"/>
              <w:rPr>
                <w:sz w:val="20"/>
                <w:szCs w:val="20"/>
              </w:rPr>
            </w:pPr>
            <w:r w:rsidRPr="00747E7A">
              <w:rPr>
                <w:sz w:val="20"/>
                <w:szCs w:val="20"/>
              </w:rPr>
              <w:t>Направление «Инновационное образование»</w:t>
            </w:r>
          </w:p>
          <w:p w14:paraId="7217F1FF" w14:textId="2084E9CD" w:rsidR="001B5D56" w:rsidRPr="00747E7A" w:rsidRDefault="001B5D56" w:rsidP="00747E7A">
            <w:pPr>
              <w:ind w:firstLine="0"/>
              <w:rPr>
                <w:sz w:val="20"/>
                <w:szCs w:val="20"/>
              </w:rPr>
            </w:pPr>
          </w:p>
        </w:tc>
        <w:tc>
          <w:tcPr>
            <w:tcW w:w="3078" w:type="dxa"/>
          </w:tcPr>
          <w:p w14:paraId="1BABB4B5" w14:textId="7FAC4097" w:rsidR="001B5D56" w:rsidRPr="00747E7A" w:rsidRDefault="001B5D56" w:rsidP="00747E7A">
            <w:pPr>
              <w:ind w:firstLine="0"/>
              <w:rPr>
                <w:sz w:val="20"/>
                <w:szCs w:val="20"/>
              </w:rPr>
            </w:pPr>
            <w:r w:rsidRPr="00747E7A">
              <w:rPr>
                <w:sz w:val="20"/>
                <w:szCs w:val="20"/>
              </w:rPr>
              <w:t>Комплекс мероприятий по модернизации институтов образования</w:t>
            </w:r>
          </w:p>
        </w:tc>
        <w:tc>
          <w:tcPr>
            <w:tcW w:w="1484" w:type="dxa"/>
          </w:tcPr>
          <w:p w14:paraId="59A72025" w14:textId="77777777" w:rsidR="001B5D56" w:rsidRPr="00747E7A" w:rsidRDefault="001B5D56" w:rsidP="00956FCF">
            <w:pPr>
              <w:ind w:firstLine="0"/>
              <w:rPr>
                <w:sz w:val="20"/>
                <w:szCs w:val="20"/>
              </w:rPr>
            </w:pPr>
            <w:r w:rsidRPr="00747E7A">
              <w:rPr>
                <w:sz w:val="20"/>
                <w:szCs w:val="20"/>
              </w:rPr>
              <w:t>2018-2020</w:t>
            </w:r>
          </w:p>
          <w:p w14:paraId="7B891743" w14:textId="77777777" w:rsidR="001B5D56" w:rsidRPr="00747E7A" w:rsidRDefault="001B5D56" w:rsidP="00956FCF">
            <w:pPr>
              <w:ind w:firstLine="0"/>
              <w:rPr>
                <w:sz w:val="20"/>
                <w:szCs w:val="20"/>
              </w:rPr>
            </w:pPr>
            <w:r w:rsidRPr="00747E7A">
              <w:rPr>
                <w:sz w:val="20"/>
                <w:szCs w:val="20"/>
              </w:rPr>
              <w:t>2021-2025</w:t>
            </w:r>
          </w:p>
          <w:p w14:paraId="25403AFA" w14:textId="554E4DCA" w:rsidR="001B5D56" w:rsidRPr="00747E7A" w:rsidRDefault="001B5D56" w:rsidP="00956FCF">
            <w:pPr>
              <w:ind w:firstLine="0"/>
              <w:rPr>
                <w:sz w:val="20"/>
                <w:szCs w:val="20"/>
              </w:rPr>
            </w:pPr>
            <w:r w:rsidRPr="00747E7A">
              <w:rPr>
                <w:sz w:val="20"/>
                <w:szCs w:val="20"/>
              </w:rPr>
              <w:t>2026-2030</w:t>
            </w:r>
          </w:p>
        </w:tc>
        <w:tc>
          <w:tcPr>
            <w:tcW w:w="2845" w:type="dxa"/>
          </w:tcPr>
          <w:p w14:paraId="2C235DA4" w14:textId="53BA7CAA" w:rsidR="001B5D56" w:rsidRPr="00747E7A" w:rsidRDefault="001B5D56" w:rsidP="00747E7A">
            <w:pPr>
              <w:ind w:firstLine="0"/>
              <w:rPr>
                <w:sz w:val="20"/>
                <w:szCs w:val="20"/>
              </w:rPr>
            </w:pPr>
            <w:r w:rsidRPr="00747E7A">
              <w:rPr>
                <w:sz w:val="20"/>
                <w:szCs w:val="20"/>
              </w:rPr>
              <w:t>районный бюджет</w:t>
            </w:r>
          </w:p>
        </w:tc>
        <w:tc>
          <w:tcPr>
            <w:tcW w:w="3577" w:type="dxa"/>
            <w:vMerge w:val="restart"/>
          </w:tcPr>
          <w:p w14:paraId="63CC27BB" w14:textId="26539090" w:rsidR="001B5D56" w:rsidRPr="00747E7A" w:rsidRDefault="001B5D56" w:rsidP="00747E7A">
            <w:pPr>
              <w:ind w:firstLine="0"/>
              <w:rPr>
                <w:sz w:val="20"/>
                <w:szCs w:val="20"/>
              </w:rPr>
            </w:pPr>
            <w:r w:rsidRPr="008A59C2">
              <w:rPr>
                <w:sz w:val="20"/>
                <w:szCs w:val="20"/>
              </w:rPr>
              <w:t>Департамент образования и молодежной политики администрации Нефтеюганского района</w:t>
            </w:r>
          </w:p>
        </w:tc>
      </w:tr>
      <w:tr w:rsidR="001B5D56" w:rsidRPr="00747E7A" w14:paraId="5302505A" w14:textId="77777777" w:rsidTr="00FA0783">
        <w:trPr>
          <w:trHeight w:val="534"/>
        </w:trPr>
        <w:tc>
          <w:tcPr>
            <w:tcW w:w="3642" w:type="dxa"/>
            <w:vMerge/>
          </w:tcPr>
          <w:p w14:paraId="2CD6B4A3" w14:textId="77777777" w:rsidR="001B5D56" w:rsidRPr="00747E7A" w:rsidRDefault="001B5D56" w:rsidP="00747E7A">
            <w:pPr>
              <w:ind w:firstLine="0"/>
              <w:rPr>
                <w:sz w:val="20"/>
                <w:szCs w:val="20"/>
              </w:rPr>
            </w:pPr>
          </w:p>
        </w:tc>
        <w:tc>
          <w:tcPr>
            <w:tcW w:w="3078" w:type="dxa"/>
          </w:tcPr>
          <w:p w14:paraId="43DC8A9C" w14:textId="613F6454" w:rsidR="001B5D56" w:rsidRPr="00747E7A" w:rsidRDefault="001B5D56" w:rsidP="00747E7A">
            <w:pPr>
              <w:ind w:firstLine="0"/>
              <w:rPr>
                <w:sz w:val="20"/>
                <w:szCs w:val="20"/>
              </w:rPr>
            </w:pPr>
            <w:r w:rsidRPr="00747E7A">
              <w:rPr>
                <w:sz w:val="20"/>
                <w:szCs w:val="20"/>
              </w:rPr>
              <w:t>Комплекс мероприятий по обеспечению инновационного характера образования в соответствии с требованиями федеральных государственных образовательных стандартов</w:t>
            </w:r>
          </w:p>
        </w:tc>
        <w:tc>
          <w:tcPr>
            <w:tcW w:w="1484" w:type="dxa"/>
          </w:tcPr>
          <w:p w14:paraId="380B2051" w14:textId="77777777" w:rsidR="001B5D56" w:rsidRPr="00747E7A" w:rsidRDefault="001B5D56" w:rsidP="00956FCF">
            <w:pPr>
              <w:ind w:firstLine="0"/>
              <w:rPr>
                <w:sz w:val="20"/>
                <w:szCs w:val="20"/>
              </w:rPr>
            </w:pPr>
            <w:r w:rsidRPr="00747E7A">
              <w:rPr>
                <w:sz w:val="20"/>
                <w:szCs w:val="20"/>
              </w:rPr>
              <w:t>2018-2020</w:t>
            </w:r>
          </w:p>
          <w:p w14:paraId="1DE3866A" w14:textId="77777777" w:rsidR="001B5D56" w:rsidRPr="00747E7A" w:rsidRDefault="001B5D56" w:rsidP="00956FCF">
            <w:pPr>
              <w:ind w:firstLine="0"/>
              <w:rPr>
                <w:sz w:val="20"/>
                <w:szCs w:val="20"/>
              </w:rPr>
            </w:pPr>
            <w:r w:rsidRPr="00747E7A">
              <w:rPr>
                <w:sz w:val="20"/>
                <w:szCs w:val="20"/>
              </w:rPr>
              <w:t>2021-2025</w:t>
            </w:r>
          </w:p>
          <w:p w14:paraId="7EBE61C1" w14:textId="3CA852D2" w:rsidR="001B5D56" w:rsidRPr="00747E7A" w:rsidRDefault="001B5D56" w:rsidP="00956FCF">
            <w:pPr>
              <w:ind w:firstLine="0"/>
              <w:rPr>
                <w:sz w:val="20"/>
                <w:szCs w:val="20"/>
              </w:rPr>
            </w:pPr>
            <w:r w:rsidRPr="00747E7A">
              <w:rPr>
                <w:sz w:val="20"/>
                <w:szCs w:val="20"/>
              </w:rPr>
              <w:t>2026-2030</w:t>
            </w:r>
          </w:p>
        </w:tc>
        <w:tc>
          <w:tcPr>
            <w:tcW w:w="2845" w:type="dxa"/>
          </w:tcPr>
          <w:p w14:paraId="68B91635" w14:textId="344D6B70" w:rsidR="001B5D56" w:rsidRPr="00747E7A" w:rsidRDefault="001B5D56" w:rsidP="00747E7A">
            <w:pPr>
              <w:ind w:firstLine="0"/>
              <w:rPr>
                <w:sz w:val="20"/>
                <w:szCs w:val="20"/>
              </w:rPr>
            </w:pPr>
            <w:r w:rsidRPr="00747E7A">
              <w:rPr>
                <w:sz w:val="20"/>
                <w:szCs w:val="20"/>
              </w:rPr>
              <w:t>районный бюджет</w:t>
            </w:r>
          </w:p>
        </w:tc>
        <w:tc>
          <w:tcPr>
            <w:tcW w:w="3577" w:type="dxa"/>
            <w:vMerge/>
          </w:tcPr>
          <w:p w14:paraId="1F95DB14" w14:textId="77777777" w:rsidR="001B5D56" w:rsidRPr="00747E7A" w:rsidRDefault="001B5D56" w:rsidP="00747E7A">
            <w:pPr>
              <w:ind w:firstLine="0"/>
              <w:rPr>
                <w:sz w:val="20"/>
                <w:szCs w:val="20"/>
              </w:rPr>
            </w:pPr>
          </w:p>
        </w:tc>
      </w:tr>
      <w:tr w:rsidR="001B5D56" w:rsidRPr="00747E7A" w14:paraId="7E28A2D7" w14:textId="77777777" w:rsidTr="00FA0783">
        <w:trPr>
          <w:trHeight w:val="534"/>
        </w:trPr>
        <w:tc>
          <w:tcPr>
            <w:tcW w:w="3642" w:type="dxa"/>
            <w:vMerge/>
          </w:tcPr>
          <w:p w14:paraId="5B409BCF" w14:textId="77777777" w:rsidR="001B5D56" w:rsidRPr="00747E7A" w:rsidRDefault="001B5D56" w:rsidP="00747E7A">
            <w:pPr>
              <w:ind w:firstLine="0"/>
              <w:rPr>
                <w:sz w:val="20"/>
                <w:szCs w:val="20"/>
              </w:rPr>
            </w:pPr>
          </w:p>
        </w:tc>
        <w:tc>
          <w:tcPr>
            <w:tcW w:w="3078" w:type="dxa"/>
          </w:tcPr>
          <w:p w14:paraId="58A63C46" w14:textId="303AF7C1" w:rsidR="001B5D56" w:rsidRPr="00747E7A" w:rsidRDefault="001B5D56" w:rsidP="00747E7A">
            <w:pPr>
              <w:ind w:firstLine="0"/>
              <w:rPr>
                <w:sz w:val="20"/>
                <w:szCs w:val="20"/>
              </w:rPr>
            </w:pPr>
            <w:r w:rsidRPr="00747E7A">
              <w:rPr>
                <w:sz w:val="20"/>
                <w:szCs w:val="20"/>
              </w:rPr>
              <w:t>Комплекс мероприятий по развитию кадрового потенциала системы образования</w:t>
            </w:r>
          </w:p>
        </w:tc>
        <w:tc>
          <w:tcPr>
            <w:tcW w:w="1484" w:type="dxa"/>
          </w:tcPr>
          <w:p w14:paraId="207E129D" w14:textId="77777777" w:rsidR="001B5D56" w:rsidRPr="00747E7A" w:rsidRDefault="001B5D56" w:rsidP="00956FCF">
            <w:pPr>
              <w:ind w:firstLine="0"/>
              <w:rPr>
                <w:sz w:val="20"/>
                <w:szCs w:val="20"/>
              </w:rPr>
            </w:pPr>
            <w:r w:rsidRPr="00747E7A">
              <w:rPr>
                <w:sz w:val="20"/>
                <w:szCs w:val="20"/>
              </w:rPr>
              <w:t>2018-2020</w:t>
            </w:r>
          </w:p>
          <w:p w14:paraId="1F9CE016" w14:textId="77777777" w:rsidR="001B5D56" w:rsidRPr="00747E7A" w:rsidRDefault="001B5D56" w:rsidP="00956FCF">
            <w:pPr>
              <w:ind w:firstLine="0"/>
              <w:rPr>
                <w:sz w:val="20"/>
                <w:szCs w:val="20"/>
              </w:rPr>
            </w:pPr>
            <w:r w:rsidRPr="00747E7A">
              <w:rPr>
                <w:sz w:val="20"/>
                <w:szCs w:val="20"/>
              </w:rPr>
              <w:t>2021-2025</w:t>
            </w:r>
          </w:p>
          <w:p w14:paraId="7C632EBB" w14:textId="604D77AB" w:rsidR="001B5D56" w:rsidRPr="00747E7A" w:rsidRDefault="001B5D56" w:rsidP="00956FCF">
            <w:pPr>
              <w:ind w:firstLine="0"/>
              <w:rPr>
                <w:sz w:val="20"/>
                <w:szCs w:val="20"/>
              </w:rPr>
            </w:pPr>
            <w:r w:rsidRPr="00747E7A">
              <w:rPr>
                <w:sz w:val="20"/>
                <w:szCs w:val="20"/>
              </w:rPr>
              <w:t>2026-2030</w:t>
            </w:r>
          </w:p>
        </w:tc>
        <w:tc>
          <w:tcPr>
            <w:tcW w:w="2845" w:type="dxa"/>
          </w:tcPr>
          <w:p w14:paraId="0404ABF5" w14:textId="191F6DD3" w:rsidR="001B5D56" w:rsidRPr="00747E7A" w:rsidRDefault="001B5D56" w:rsidP="00747E7A">
            <w:pPr>
              <w:ind w:firstLine="0"/>
              <w:rPr>
                <w:sz w:val="20"/>
                <w:szCs w:val="20"/>
              </w:rPr>
            </w:pPr>
            <w:r w:rsidRPr="00747E7A">
              <w:rPr>
                <w:sz w:val="20"/>
                <w:szCs w:val="20"/>
              </w:rPr>
              <w:t>районный бюджет</w:t>
            </w:r>
          </w:p>
        </w:tc>
        <w:tc>
          <w:tcPr>
            <w:tcW w:w="3577" w:type="dxa"/>
            <w:vMerge/>
          </w:tcPr>
          <w:p w14:paraId="42457865" w14:textId="77777777" w:rsidR="001B5D56" w:rsidRPr="00747E7A" w:rsidRDefault="001B5D56" w:rsidP="00747E7A">
            <w:pPr>
              <w:ind w:firstLine="0"/>
              <w:rPr>
                <w:sz w:val="20"/>
                <w:szCs w:val="20"/>
              </w:rPr>
            </w:pPr>
          </w:p>
        </w:tc>
      </w:tr>
      <w:tr w:rsidR="001B5D56" w:rsidRPr="00747E7A" w14:paraId="586A30B9" w14:textId="77777777" w:rsidTr="00FA0783">
        <w:trPr>
          <w:trHeight w:val="449"/>
        </w:trPr>
        <w:tc>
          <w:tcPr>
            <w:tcW w:w="3642" w:type="dxa"/>
            <w:vMerge w:val="restart"/>
          </w:tcPr>
          <w:p w14:paraId="0AF0FCDE" w14:textId="1D4D1107" w:rsidR="001B5D56" w:rsidRPr="00747E7A" w:rsidRDefault="001B5D56" w:rsidP="00747E7A">
            <w:pPr>
              <w:ind w:firstLine="0"/>
              <w:rPr>
                <w:sz w:val="20"/>
                <w:szCs w:val="20"/>
              </w:rPr>
            </w:pPr>
            <w:r w:rsidRPr="00747E7A">
              <w:rPr>
                <w:sz w:val="20"/>
                <w:szCs w:val="20"/>
              </w:rPr>
              <w:t>Направление «Социальная защита и занятость»</w:t>
            </w:r>
          </w:p>
        </w:tc>
        <w:tc>
          <w:tcPr>
            <w:tcW w:w="3078" w:type="dxa"/>
          </w:tcPr>
          <w:p w14:paraId="5A21774F" w14:textId="27C5F291" w:rsidR="001B5D56" w:rsidRPr="00747E7A" w:rsidRDefault="001B5D56" w:rsidP="00747E7A">
            <w:pPr>
              <w:ind w:firstLine="0"/>
              <w:rPr>
                <w:sz w:val="20"/>
                <w:szCs w:val="20"/>
              </w:rPr>
            </w:pPr>
            <w:r w:rsidRPr="00747E7A">
              <w:rPr>
                <w:sz w:val="20"/>
                <w:szCs w:val="20"/>
              </w:rPr>
              <w:t>Комплекс мероприятий по повышению качества жизни социально уязвимых слоев населения</w:t>
            </w:r>
          </w:p>
        </w:tc>
        <w:tc>
          <w:tcPr>
            <w:tcW w:w="1484" w:type="dxa"/>
          </w:tcPr>
          <w:p w14:paraId="16F4C67F" w14:textId="77777777" w:rsidR="001B5D56" w:rsidRPr="00747E7A" w:rsidRDefault="001B5D56" w:rsidP="00956FCF">
            <w:pPr>
              <w:ind w:firstLine="0"/>
              <w:rPr>
                <w:sz w:val="20"/>
                <w:szCs w:val="20"/>
              </w:rPr>
            </w:pPr>
            <w:r w:rsidRPr="00747E7A">
              <w:rPr>
                <w:sz w:val="20"/>
                <w:szCs w:val="20"/>
              </w:rPr>
              <w:t>2018-2020</w:t>
            </w:r>
          </w:p>
          <w:p w14:paraId="476FB4C7" w14:textId="77777777" w:rsidR="001B5D56" w:rsidRPr="00747E7A" w:rsidRDefault="001B5D56" w:rsidP="00956FCF">
            <w:pPr>
              <w:ind w:firstLine="0"/>
              <w:rPr>
                <w:sz w:val="20"/>
                <w:szCs w:val="20"/>
              </w:rPr>
            </w:pPr>
            <w:r w:rsidRPr="00747E7A">
              <w:rPr>
                <w:sz w:val="20"/>
                <w:szCs w:val="20"/>
              </w:rPr>
              <w:t>2021-2025</w:t>
            </w:r>
          </w:p>
          <w:p w14:paraId="50EB0769" w14:textId="23770A71" w:rsidR="001B5D56" w:rsidRPr="00747E7A" w:rsidRDefault="001B5D56" w:rsidP="00956FCF">
            <w:pPr>
              <w:ind w:firstLine="0"/>
              <w:rPr>
                <w:sz w:val="20"/>
                <w:szCs w:val="20"/>
              </w:rPr>
            </w:pPr>
            <w:r w:rsidRPr="00747E7A">
              <w:rPr>
                <w:sz w:val="20"/>
                <w:szCs w:val="20"/>
              </w:rPr>
              <w:t>2026-2030</w:t>
            </w:r>
          </w:p>
        </w:tc>
        <w:tc>
          <w:tcPr>
            <w:tcW w:w="2845" w:type="dxa"/>
          </w:tcPr>
          <w:p w14:paraId="63882EB2" w14:textId="65C4EBBA" w:rsidR="001B5D56" w:rsidRPr="00747E7A" w:rsidRDefault="001B5D56" w:rsidP="00747E7A">
            <w:pPr>
              <w:ind w:firstLine="0"/>
              <w:rPr>
                <w:sz w:val="20"/>
                <w:szCs w:val="20"/>
              </w:rPr>
            </w:pPr>
            <w:r w:rsidRPr="00747E7A">
              <w:rPr>
                <w:sz w:val="20"/>
                <w:szCs w:val="20"/>
              </w:rPr>
              <w:t>районный бюджет</w:t>
            </w:r>
          </w:p>
        </w:tc>
        <w:tc>
          <w:tcPr>
            <w:tcW w:w="3577" w:type="dxa"/>
          </w:tcPr>
          <w:p w14:paraId="7A743D8D" w14:textId="06CF1547" w:rsidR="001B5D56" w:rsidRPr="00747E7A" w:rsidRDefault="001B5D56" w:rsidP="00747E7A">
            <w:pPr>
              <w:ind w:firstLine="0"/>
              <w:rPr>
                <w:sz w:val="20"/>
                <w:szCs w:val="20"/>
              </w:rPr>
            </w:pPr>
            <w:r>
              <w:rPr>
                <w:sz w:val="20"/>
                <w:szCs w:val="20"/>
              </w:rPr>
              <w:t>Отдел по делам несовершеннолетних, защите их прав</w:t>
            </w:r>
          </w:p>
        </w:tc>
      </w:tr>
      <w:tr w:rsidR="001B5D56" w:rsidRPr="00747E7A" w14:paraId="3F1987E0" w14:textId="77777777" w:rsidTr="00FA0783">
        <w:trPr>
          <w:trHeight w:val="743"/>
        </w:trPr>
        <w:tc>
          <w:tcPr>
            <w:tcW w:w="3642" w:type="dxa"/>
            <w:vMerge/>
          </w:tcPr>
          <w:p w14:paraId="0E63C956" w14:textId="3576A021" w:rsidR="001B5D56" w:rsidRPr="00747E7A" w:rsidRDefault="001B5D56" w:rsidP="00747E7A">
            <w:pPr>
              <w:ind w:firstLine="0"/>
              <w:rPr>
                <w:sz w:val="20"/>
                <w:szCs w:val="20"/>
              </w:rPr>
            </w:pPr>
          </w:p>
        </w:tc>
        <w:tc>
          <w:tcPr>
            <w:tcW w:w="3078" w:type="dxa"/>
          </w:tcPr>
          <w:p w14:paraId="252F9606" w14:textId="6D870783" w:rsidR="001B5D56" w:rsidRPr="00747E7A" w:rsidRDefault="001B5D56" w:rsidP="00747E7A">
            <w:pPr>
              <w:ind w:firstLine="0"/>
              <w:rPr>
                <w:sz w:val="20"/>
                <w:szCs w:val="20"/>
              </w:rPr>
            </w:pPr>
            <w:r w:rsidRPr="00747E7A">
              <w:rPr>
                <w:sz w:val="20"/>
                <w:szCs w:val="20"/>
              </w:rPr>
              <w:t>Комплекс мероприятий по повышению эффективности предоставления услуг и укрепление кадрового потенциала учреждений</w:t>
            </w:r>
          </w:p>
        </w:tc>
        <w:tc>
          <w:tcPr>
            <w:tcW w:w="1484" w:type="dxa"/>
          </w:tcPr>
          <w:p w14:paraId="28D843DB" w14:textId="77777777" w:rsidR="001B5D56" w:rsidRPr="00747E7A" w:rsidRDefault="001B5D56" w:rsidP="00956FCF">
            <w:pPr>
              <w:ind w:firstLine="0"/>
              <w:rPr>
                <w:sz w:val="20"/>
                <w:szCs w:val="20"/>
              </w:rPr>
            </w:pPr>
            <w:r w:rsidRPr="00747E7A">
              <w:rPr>
                <w:sz w:val="20"/>
                <w:szCs w:val="20"/>
              </w:rPr>
              <w:t>2018-2020</w:t>
            </w:r>
          </w:p>
          <w:p w14:paraId="0BAFE1E2" w14:textId="77777777" w:rsidR="001B5D56" w:rsidRPr="00747E7A" w:rsidRDefault="001B5D56" w:rsidP="00956FCF">
            <w:pPr>
              <w:ind w:firstLine="0"/>
              <w:rPr>
                <w:sz w:val="20"/>
                <w:szCs w:val="20"/>
              </w:rPr>
            </w:pPr>
            <w:r w:rsidRPr="00747E7A">
              <w:rPr>
                <w:sz w:val="20"/>
                <w:szCs w:val="20"/>
              </w:rPr>
              <w:t>2021-2025</w:t>
            </w:r>
          </w:p>
          <w:p w14:paraId="2D9B3D59" w14:textId="75794CDA" w:rsidR="001B5D56" w:rsidRPr="00747E7A" w:rsidRDefault="001B5D56" w:rsidP="00956FCF">
            <w:pPr>
              <w:ind w:firstLine="0"/>
              <w:rPr>
                <w:sz w:val="20"/>
                <w:szCs w:val="20"/>
              </w:rPr>
            </w:pPr>
            <w:r w:rsidRPr="00747E7A">
              <w:rPr>
                <w:sz w:val="20"/>
                <w:szCs w:val="20"/>
              </w:rPr>
              <w:t>2026-2030</w:t>
            </w:r>
          </w:p>
        </w:tc>
        <w:tc>
          <w:tcPr>
            <w:tcW w:w="2845" w:type="dxa"/>
          </w:tcPr>
          <w:p w14:paraId="378D38A7" w14:textId="4E9421A0" w:rsidR="001B5D56" w:rsidRPr="00747E7A" w:rsidRDefault="001B5D56" w:rsidP="00747E7A">
            <w:pPr>
              <w:ind w:firstLine="0"/>
              <w:rPr>
                <w:sz w:val="20"/>
                <w:szCs w:val="20"/>
              </w:rPr>
            </w:pPr>
            <w:r w:rsidRPr="00747E7A">
              <w:rPr>
                <w:sz w:val="20"/>
                <w:szCs w:val="20"/>
              </w:rPr>
              <w:t>районный бюджет</w:t>
            </w:r>
          </w:p>
        </w:tc>
        <w:tc>
          <w:tcPr>
            <w:tcW w:w="3577" w:type="dxa"/>
          </w:tcPr>
          <w:p w14:paraId="3FC336C9" w14:textId="0BC2FF0C" w:rsidR="001B5D56" w:rsidRPr="00747E7A" w:rsidRDefault="001B5D56" w:rsidP="00747E7A">
            <w:pPr>
              <w:ind w:firstLine="0"/>
              <w:rPr>
                <w:sz w:val="20"/>
                <w:szCs w:val="20"/>
              </w:rPr>
            </w:pPr>
            <w:r>
              <w:rPr>
                <w:sz w:val="20"/>
                <w:szCs w:val="20"/>
              </w:rPr>
              <w:t>Отдел кадров и муниципальной службы</w:t>
            </w:r>
          </w:p>
        </w:tc>
      </w:tr>
      <w:tr w:rsidR="001B5D56" w:rsidRPr="00747E7A" w14:paraId="4E70886E" w14:textId="77777777" w:rsidTr="00FA0783">
        <w:trPr>
          <w:trHeight w:val="743"/>
        </w:trPr>
        <w:tc>
          <w:tcPr>
            <w:tcW w:w="3642" w:type="dxa"/>
            <w:vMerge/>
          </w:tcPr>
          <w:p w14:paraId="4646A145" w14:textId="77777777" w:rsidR="001B5D56" w:rsidRPr="00747E7A" w:rsidRDefault="001B5D56" w:rsidP="00747E7A">
            <w:pPr>
              <w:ind w:firstLine="0"/>
              <w:rPr>
                <w:sz w:val="20"/>
                <w:szCs w:val="20"/>
              </w:rPr>
            </w:pPr>
          </w:p>
        </w:tc>
        <w:tc>
          <w:tcPr>
            <w:tcW w:w="3078" w:type="dxa"/>
          </w:tcPr>
          <w:p w14:paraId="1EA5A84A" w14:textId="7D5CD5E7" w:rsidR="001B5D56" w:rsidRPr="00747E7A" w:rsidRDefault="001B5D56" w:rsidP="00747E7A">
            <w:pPr>
              <w:ind w:firstLine="0"/>
              <w:rPr>
                <w:sz w:val="20"/>
                <w:szCs w:val="20"/>
              </w:rPr>
            </w:pPr>
            <w:r w:rsidRPr="00747E7A">
              <w:rPr>
                <w:sz w:val="20"/>
                <w:szCs w:val="20"/>
              </w:rPr>
              <w:t>Комплекс мероприятий по развитию новых форм опеки и попечительства</w:t>
            </w:r>
          </w:p>
        </w:tc>
        <w:tc>
          <w:tcPr>
            <w:tcW w:w="1484" w:type="dxa"/>
          </w:tcPr>
          <w:p w14:paraId="49863869" w14:textId="77777777" w:rsidR="001B5D56" w:rsidRPr="00747E7A" w:rsidRDefault="001B5D56" w:rsidP="00956FCF">
            <w:pPr>
              <w:ind w:firstLine="0"/>
              <w:rPr>
                <w:sz w:val="20"/>
                <w:szCs w:val="20"/>
              </w:rPr>
            </w:pPr>
            <w:r w:rsidRPr="00747E7A">
              <w:rPr>
                <w:sz w:val="20"/>
                <w:szCs w:val="20"/>
              </w:rPr>
              <w:t>2018-2020</w:t>
            </w:r>
          </w:p>
          <w:p w14:paraId="3D2EFFAB" w14:textId="77777777" w:rsidR="001B5D56" w:rsidRPr="00747E7A" w:rsidRDefault="001B5D56" w:rsidP="00956FCF">
            <w:pPr>
              <w:ind w:firstLine="0"/>
              <w:rPr>
                <w:sz w:val="20"/>
                <w:szCs w:val="20"/>
              </w:rPr>
            </w:pPr>
            <w:r w:rsidRPr="00747E7A">
              <w:rPr>
                <w:sz w:val="20"/>
                <w:szCs w:val="20"/>
              </w:rPr>
              <w:t>2021-2025</w:t>
            </w:r>
          </w:p>
          <w:p w14:paraId="5435D8A7" w14:textId="4F130FB2" w:rsidR="001B5D56" w:rsidRPr="00747E7A" w:rsidRDefault="001B5D56" w:rsidP="00956FCF">
            <w:pPr>
              <w:ind w:firstLine="0"/>
              <w:rPr>
                <w:sz w:val="20"/>
                <w:szCs w:val="20"/>
              </w:rPr>
            </w:pPr>
            <w:r w:rsidRPr="00747E7A">
              <w:rPr>
                <w:sz w:val="20"/>
                <w:szCs w:val="20"/>
              </w:rPr>
              <w:t>2026-2030</w:t>
            </w:r>
          </w:p>
        </w:tc>
        <w:tc>
          <w:tcPr>
            <w:tcW w:w="2845" w:type="dxa"/>
          </w:tcPr>
          <w:p w14:paraId="30C55A3B" w14:textId="23DAD5E9" w:rsidR="001B5D56" w:rsidRPr="00747E7A" w:rsidRDefault="001B5D56" w:rsidP="00747E7A">
            <w:pPr>
              <w:ind w:firstLine="0"/>
              <w:rPr>
                <w:sz w:val="20"/>
                <w:szCs w:val="20"/>
              </w:rPr>
            </w:pPr>
            <w:r w:rsidRPr="00747E7A">
              <w:rPr>
                <w:sz w:val="20"/>
                <w:szCs w:val="20"/>
              </w:rPr>
              <w:t>районный бюджет</w:t>
            </w:r>
          </w:p>
        </w:tc>
        <w:tc>
          <w:tcPr>
            <w:tcW w:w="3577" w:type="dxa"/>
          </w:tcPr>
          <w:p w14:paraId="1E2361ED" w14:textId="4DD6B4C9" w:rsidR="001B5D56" w:rsidRPr="00747E7A" w:rsidRDefault="001B5D56" w:rsidP="00747E7A">
            <w:pPr>
              <w:ind w:firstLine="0"/>
              <w:rPr>
                <w:sz w:val="20"/>
                <w:szCs w:val="20"/>
              </w:rPr>
            </w:pPr>
            <w:r>
              <w:rPr>
                <w:sz w:val="20"/>
                <w:szCs w:val="20"/>
              </w:rPr>
              <w:t>Отдел по опеке и попечительству</w:t>
            </w:r>
          </w:p>
        </w:tc>
      </w:tr>
      <w:tr w:rsidR="001B5D56" w:rsidRPr="00747E7A" w14:paraId="33BA7F99" w14:textId="77777777" w:rsidTr="00FA0783">
        <w:trPr>
          <w:trHeight w:val="743"/>
        </w:trPr>
        <w:tc>
          <w:tcPr>
            <w:tcW w:w="3642" w:type="dxa"/>
            <w:vMerge/>
          </w:tcPr>
          <w:p w14:paraId="3EA62D6C" w14:textId="77777777" w:rsidR="001B5D56" w:rsidRPr="00747E7A" w:rsidRDefault="001B5D56" w:rsidP="00747E7A">
            <w:pPr>
              <w:ind w:firstLine="0"/>
              <w:rPr>
                <w:sz w:val="20"/>
                <w:szCs w:val="20"/>
              </w:rPr>
            </w:pPr>
          </w:p>
        </w:tc>
        <w:tc>
          <w:tcPr>
            <w:tcW w:w="3078" w:type="dxa"/>
          </w:tcPr>
          <w:p w14:paraId="08296B4B" w14:textId="0F83E34D" w:rsidR="001B5D56" w:rsidRPr="00747E7A" w:rsidRDefault="001B5D56" w:rsidP="00747E7A">
            <w:pPr>
              <w:ind w:firstLine="0"/>
              <w:rPr>
                <w:sz w:val="20"/>
                <w:szCs w:val="20"/>
              </w:rPr>
            </w:pPr>
            <w:r w:rsidRPr="00747E7A">
              <w:rPr>
                <w:sz w:val="20"/>
                <w:szCs w:val="20"/>
              </w:rPr>
              <w:t>Комплекс мероприятий по развитию трудового потенциала региона, управление структурой и качеством рабочей силы</w:t>
            </w:r>
          </w:p>
        </w:tc>
        <w:tc>
          <w:tcPr>
            <w:tcW w:w="1484" w:type="dxa"/>
          </w:tcPr>
          <w:p w14:paraId="294E11EE" w14:textId="77777777" w:rsidR="001B5D56" w:rsidRPr="00747E7A" w:rsidRDefault="001B5D56" w:rsidP="00956FCF">
            <w:pPr>
              <w:ind w:firstLine="0"/>
              <w:rPr>
                <w:sz w:val="20"/>
                <w:szCs w:val="20"/>
              </w:rPr>
            </w:pPr>
            <w:r w:rsidRPr="00747E7A">
              <w:rPr>
                <w:sz w:val="20"/>
                <w:szCs w:val="20"/>
              </w:rPr>
              <w:t>2018-2020</w:t>
            </w:r>
          </w:p>
          <w:p w14:paraId="3312B160" w14:textId="77777777" w:rsidR="001B5D56" w:rsidRPr="00747E7A" w:rsidRDefault="001B5D56" w:rsidP="00956FCF">
            <w:pPr>
              <w:ind w:firstLine="0"/>
              <w:rPr>
                <w:sz w:val="20"/>
                <w:szCs w:val="20"/>
              </w:rPr>
            </w:pPr>
            <w:r w:rsidRPr="00747E7A">
              <w:rPr>
                <w:sz w:val="20"/>
                <w:szCs w:val="20"/>
              </w:rPr>
              <w:t>2021-2025</w:t>
            </w:r>
          </w:p>
          <w:p w14:paraId="3805D4AB" w14:textId="6F2B8883" w:rsidR="001B5D56" w:rsidRPr="00747E7A" w:rsidRDefault="001B5D56" w:rsidP="00956FCF">
            <w:pPr>
              <w:ind w:firstLine="0"/>
              <w:rPr>
                <w:sz w:val="20"/>
                <w:szCs w:val="20"/>
              </w:rPr>
            </w:pPr>
            <w:r w:rsidRPr="00747E7A">
              <w:rPr>
                <w:sz w:val="20"/>
                <w:szCs w:val="20"/>
              </w:rPr>
              <w:t>2026-2030</w:t>
            </w:r>
          </w:p>
        </w:tc>
        <w:tc>
          <w:tcPr>
            <w:tcW w:w="2845" w:type="dxa"/>
          </w:tcPr>
          <w:p w14:paraId="52BC7558" w14:textId="1D4D1CDF" w:rsidR="001B5D56" w:rsidRPr="00747E7A" w:rsidRDefault="001B5D56" w:rsidP="00747E7A">
            <w:pPr>
              <w:ind w:firstLine="0"/>
              <w:rPr>
                <w:sz w:val="20"/>
                <w:szCs w:val="20"/>
              </w:rPr>
            </w:pPr>
            <w:r w:rsidRPr="00747E7A">
              <w:rPr>
                <w:sz w:val="20"/>
                <w:szCs w:val="20"/>
              </w:rPr>
              <w:t>районный бюджет</w:t>
            </w:r>
          </w:p>
        </w:tc>
        <w:tc>
          <w:tcPr>
            <w:tcW w:w="3577" w:type="dxa"/>
          </w:tcPr>
          <w:p w14:paraId="22EE86EA" w14:textId="6A52F662" w:rsidR="001B5D56" w:rsidRPr="00747E7A" w:rsidRDefault="001B5D56" w:rsidP="00747E7A">
            <w:pPr>
              <w:ind w:firstLine="0"/>
              <w:rPr>
                <w:sz w:val="20"/>
                <w:szCs w:val="20"/>
              </w:rPr>
            </w:pPr>
            <w:r>
              <w:rPr>
                <w:sz w:val="20"/>
                <w:szCs w:val="20"/>
              </w:rPr>
              <w:t>Отдел социально-трудовых отношений</w:t>
            </w:r>
          </w:p>
        </w:tc>
      </w:tr>
      <w:tr w:rsidR="001B5D56" w:rsidRPr="00747E7A" w14:paraId="100F4ADA" w14:textId="77777777" w:rsidTr="00FA0783">
        <w:trPr>
          <w:trHeight w:val="743"/>
        </w:trPr>
        <w:tc>
          <w:tcPr>
            <w:tcW w:w="3642" w:type="dxa"/>
            <w:vMerge w:val="restart"/>
          </w:tcPr>
          <w:p w14:paraId="2C9A1554" w14:textId="24412B91" w:rsidR="001B5D56" w:rsidRPr="00747E7A" w:rsidRDefault="001B5D56" w:rsidP="00747E7A">
            <w:pPr>
              <w:ind w:firstLine="0"/>
              <w:rPr>
                <w:sz w:val="20"/>
                <w:szCs w:val="20"/>
              </w:rPr>
            </w:pPr>
            <w:r w:rsidRPr="00747E7A">
              <w:rPr>
                <w:sz w:val="20"/>
                <w:szCs w:val="20"/>
              </w:rPr>
              <w:t>Направление «Культура и спорт»</w:t>
            </w:r>
          </w:p>
        </w:tc>
        <w:tc>
          <w:tcPr>
            <w:tcW w:w="3078" w:type="dxa"/>
          </w:tcPr>
          <w:p w14:paraId="2E30FED9" w14:textId="3D234A52" w:rsidR="001B5D56" w:rsidRPr="00747E7A" w:rsidRDefault="001B5D56" w:rsidP="00747E7A">
            <w:pPr>
              <w:ind w:firstLine="0"/>
              <w:rPr>
                <w:sz w:val="20"/>
                <w:szCs w:val="20"/>
              </w:rPr>
            </w:pPr>
            <w:r w:rsidRPr="00747E7A">
              <w:rPr>
                <w:sz w:val="20"/>
                <w:szCs w:val="20"/>
              </w:rPr>
              <w:t>Комплекс мероприятий по сохранению культурного и исторического наследия района, продвижению культурного обмена на внешние культурные рынки</w:t>
            </w:r>
          </w:p>
        </w:tc>
        <w:tc>
          <w:tcPr>
            <w:tcW w:w="1484" w:type="dxa"/>
          </w:tcPr>
          <w:p w14:paraId="74210538" w14:textId="77777777" w:rsidR="001B5D56" w:rsidRPr="00747E7A" w:rsidRDefault="001B5D56" w:rsidP="00956FCF">
            <w:pPr>
              <w:ind w:firstLine="0"/>
              <w:rPr>
                <w:sz w:val="20"/>
                <w:szCs w:val="20"/>
              </w:rPr>
            </w:pPr>
            <w:r w:rsidRPr="00747E7A">
              <w:rPr>
                <w:sz w:val="20"/>
                <w:szCs w:val="20"/>
              </w:rPr>
              <w:t>2018-2020</w:t>
            </w:r>
          </w:p>
          <w:p w14:paraId="31D22A75" w14:textId="77777777" w:rsidR="001B5D56" w:rsidRPr="00747E7A" w:rsidRDefault="001B5D56" w:rsidP="00956FCF">
            <w:pPr>
              <w:ind w:firstLine="0"/>
              <w:rPr>
                <w:sz w:val="20"/>
                <w:szCs w:val="20"/>
              </w:rPr>
            </w:pPr>
            <w:r w:rsidRPr="00747E7A">
              <w:rPr>
                <w:sz w:val="20"/>
                <w:szCs w:val="20"/>
              </w:rPr>
              <w:t>2021-2025</w:t>
            </w:r>
          </w:p>
          <w:p w14:paraId="28ADA1AD" w14:textId="66B3A0BF" w:rsidR="001B5D56" w:rsidRPr="00747E7A" w:rsidRDefault="001B5D56" w:rsidP="00956FCF">
            <w:pPr>
              <w:ind w:firstLine="0"/>
              <w:rPr>
                <w:sz w:val="20"/>
                <w:szCs w:val="20"/>
              </w:rPr>
            </w:pPr>
            <w:r w:rsidRPr="00747E7A">
              <w:rPr>
                <w:sz w:val="20"/>
                <w:szCs w:val="20"/>
              </w:rPr>
              <w:t>2026-2030</w:t>
            </w:r>
          </w:p>
        </w:tc>
        <w:tc>
          <w:tcPr>
            <w:tcW w:w="2845" w:type="dxa"/>
          </w:tcPr>
          <w:p w14:paraId="28203155" w14:textId="32594698" w:rsidR="001B5D56" w:rsidRPr="00747E7A" w:rsidRDefault="001B5D56" w:rsidP="00747E7A">
            <w:pPr>
              <w:ind w:firstLine="0"/>
              <w:rPr>
                <w:sz w:val="20"/>
                <w:szCs w:val="20"/>
              </w:rPr>
            </w:pPr>
            <w:r w:rsidRPr="00747E7A">
              <w:rPr>
                <w:sz w:val="20"/>
                <w:szCs w:val="20"/>
              </w:rPr>
              <w:t>районный бюджет</w:t>
            </w:r>
          </w:p>
        </w:tc>
        <w:tc>
          <w:tcPr>
            <w:tcW w:w="3577" w:type="dxa"/>
            <w:vMerge w:val="restart"/>
          </w:tcPr>
          <w:p w14:paraId="7611484B" w14:textId="25C7B956" w:rsidR="001B5D56" w:rsidRPr="00C11DFB" w:rsidRDefault="001B5D56" w:rsidP="00747E7A">
            <w:pPr>
              <w:ind w:firstLine="0"/>
              <w:rPr>
                <w:sz w:val="20"/>
                <w:szCs w:val="20"/>
                <w:lang w:val="en-US"/>
              </w:rPr>
            </w:pPr>
            <w:r w:rsidRPr="008A59C2">
              <w:rPr>
                <w:sz w:val="20"/>
                <w:szCs w:val="20"/>
              </w:rPr>
              <w:t>Департамент культуры и спорта администрации Нефтеюганского района</w:t>
            </w:r>
          </w:p>
        </w:tc>
      </w:tr>
      <w:tr w:rsidR="001B5D56" w:rsidRPr="00747E7A" w14:paraId="4B46FF24" w14:textId="77777777" w:rsidTr="00FA0783">
        <w:trPr>
          <w:trHeight w:val="743"/>
        </w:trPr>
        <w:tc>
          <w:tcPr>
            <w:tcW w:w="3642" w:type="dxa"/>
            <w:vMerge/>
          </w:tcPr>
          <w:p w14:paraId="6AB9E9B7" w14:textId="77777777" w:rsidR="001B5D56" w:rsidRPr="00747E7A" w:rsidRDefault="001B5D56" w:rsidP="00747E7A">
            <w:pPr>
              <w:ind w:firstLine="0"/>
              <w:rPr>
                <w:sz w:val="20"/>
                <w:szCs w:val="20"/>
              </w:rPr>
            </w:pPr>
          </w:p>
        </w:tc>
        <w:tc>
          <w:tcPr>
            <w:tcW w:w="3078" w:type="dxa"/>
          </w:tcPr>
          <w:p w14:paraId="79481101" w14:textId="769C850D" w:rsidR="001B5D56" w:rsidRPr="00747E7A" w:rsidRDefault="001B5D56" w:rsidP="00747E7A">
            <w:pPr>
              <w:ind w:firstLine="0"/>
              <w:rPr>
                <w:sz w:val="20"/>
                <w:szCs w:val="20"/>
              </w:rPr>
            </w:pPr>
            <w:r w:rsidRPr="00747E7A">
              <w:rPr>
                <w:sz w:val="20"/>
                <w:szCs w:val="20"/>
              </w:rPr>
              <w:t>Комплекс мероприятий по удовлетворению потребностей населения в культурном развитии, обеспечению равного доступа к культурным ценностям и информации</w:t>
            </w:r>
          </w:p>
        </w:tc>
        <w:tc>
          <w:tcPr>
            <w:tcW w:w="1484" w:type="dxa"/>
          </w:tcPr>
          <w:p w14:paraId="142A9BDA" w14:textId="77777777" w:rsidR="001B5D56" w:rsidRPr="00747E7A" w:rsidRDefault="001B5D56" w:rsidP="00956FCF">
            <w:pPr>
              <w:ind w:firstLine="0"/>
              <w:rPr>
                <w:sz w:val="20"/>
                <w:szCs w:val="20"/>
              </w:rPr>
            </w:pPr>
            <w:r w:rsidRPr="00747E7A">
              <w:rPr>
                <w:sz w:val="20"/>
                <w:szCs w:val="20"/>
              </w:rPr>
              <w:t>2018-2020</w:t>
            </w:r>
          </w:p>
          <w:p w14:paraId="41A9B337" w14:textId="77777777" w:rsidR="001B5D56" w:rsidRPr="00747E7A" w:rsidRDefault="001B5D56" w:rsidP="00956FCF">
            <w:pPr>
              <w:ind w:firstLine="0"/>
              <w:rPr>
                <w:sz w:val="20"/>
                <w:szCs w:val="20"/>
              </w:rPr>
            </w:pPr>
            <w:r w:rsidRPr="00747E7A">
              <w:rPr>
                <w:sz w:val="20"/>
                <w:szCs w:val="20"/>
              </w:rPr>
              <w:t>2021-2025</w:t>
            </w:r>
          </w:p>
          <w:p w14:paraId="5CC15969" w14:textId="264D2797" w:rsidR="001B5D56" w:rsidRPr="00747E7A" w:rsidRDefault="001B5D56" w:rsidP="00956FCF">
            <w:pPr>
              <w:ind w:firstLine="0"/>
              <w:rPr>
                <w:sz w:val="20"/>
                <w:szCs w:val="20"/>
              </w:rPr>
            </w:pPr>
            <w:r w:rsidRPr="00747E7A">
              <w:rPr>
                <w:sz w:val="20"/>
                <w:szCs w:val="20"/>
              </w:rPr>
              <w:t>2026-2030</w:t>
            </w:r>
          </w:p>
        </w:tc>
        <w:tc>
          <w:tcPr>
            <w:tcW w:w="2845" w:type="dxa"/>
          </w:tcPr>
          <w:p w14:paraId="008FE957" w14:textId="25F5F5CF" w:rsidR="001B5D56" w:rsidRPr="00747E7A" w:rsidRDefault="001B5D56" w:rsidP="00747E7A">
            <w:pPr>
              <w:ind w:firstLine="0"/>
              <w:rPr>
                <w:sz w:val="20"/>
                <w:szCs w:val="20"/>
              </w:rPr>
            </w:pPr>
            <w:r w:rsidRPr="00747E7A">
              <w:rPr>
                <w:sz w:val="20"/>
                <w:szCs w:val="20"/>
              </w:rPr>
              <w:t>районный бюджет</w:t>
            </w:r>
          </w:p>
        </w:tc>
        <w:tc>
          <w:tcPr>
            <w:tcW w:w="3577" w:type="dxa"/>
            <w:vMerge/>
          </w:tcPr>
          <w:p w14:paraId="2BF75A11" w14:textId="77777777" w:rsidR="001B5D56" w:rsidRPr="00747E7A" w:rsidRDefault="001B5D56" w:rsidP="00747E7A">
            <w:pPr>
              <w:ind w:firstLine="0"/>
              <w:rPr>
                <w:sz w:val="20"/>
                <w:szCs w:val="20"/>
              </w:rPr>
            </w:pPr>
          </w:p>
        </w:tc>
      </w:tr>
      <w:tr w:rsidR="001B5D56" w:rsidRPr="00747E7A" w14:paraId="7FDEB8AF" w14:textId="77777777" w:rsidTr="00FA0783">
        <w:trPr>
          <w:trHeight w:val="743"/>
        </w:trPr>
        <w:tc>
          <w:tcPr>
            <w:tcW w:w="3642" w:type="dxa"/>
            <w:vMerge/>
          </w:tcPr>
          <w:p w14:paraId="28B989DA" w14:textId="77777777" w:rsidR="001B5D56" w:rsidRPr="00747E7A" w:rsidRDefault="001B5D56" w:rsidP="00747E7A">
            <w:pPr>
              <w:ind w:firstLine="0"/>
              <w:rPr>
                <w:sz w:val="20"/>
                <w:szCs w:val="20"/>
              </w:rPr>
            </w:pPr>
          </w:p>
        </w:tc>
        <w:tc>
          <w:tcPr>
            <w:tcW w:w="3078" w:type="dxa"/>
          </w:tcPr>
          <w:p w14:paraId="70EA4589" w14:textId="31002AE7" w:rsidR="001B5D56" w:rsidRPr="00747E7A" w:rsidRDefault="001B5D56" w:rsidP="00747E7A">
            <w:pPr>
              <w:ind w:firstLine="0"/>
              <w:rPr>
                <w:sz w:val="20"/>
                <w:szCs w:val="20"/>
              </w:rPr>
            </w:pPr>
            <w:r w:rsidRPr="00747E7A">
              <w:rPr>
                <w:sz w:val="20"/>
                <w:szCs w:val="20"/>
              </w:rPr>
              <w:t>Комплекс мероприятий по обеспечению равного доступа населения района к физкультурно-оздоровительным услугам</w:t>
            </w:r>
          </w:p>
        </w:tc>
        <w:tc>
          <w:tcPr>
            <w:tcW w:w="1484" w:type="dxa"/>
          </w:tcPr>
          <w:p w14:paraId="78F480D4" w14:textId="77777777" w:rsidR="001B5D56" w:rsidRPr="00747E7A" w:rsidRDefault="001B5D56" w:rsidP="00956FCF">
            <w:pPr>
              <w:ind w:firstLine="0"/>
              <w:rPr>
                <w:sz w:val="20"/>
                <w:szCs w:val="20"/>
              </w:rPr>
            </w:pPr>
            <w:r w:rsidRPr="00747E7A">
              <w:rPr>
                <w:sz w:val="20"/>
                <w:szCs w:val="20"/>
              </w:rPr>
              <w:t>2018-2020</w:t>
            </w:r>
          </w:p>
          <w:p w14:paraId="56FF2EF7" w14:textId="77777777" w:rsidR="001B5D56" w:rsidRPr="00747E7A" w:rsidRDefault="001B5D56" w:rsidP="00956FCF">
            <w:pPr>
              <w:ind w:firstLine="0"/>
              <w:rPr>
                <w:sz w:val="20"/>
                <w:szCs w:val="20"/>
              </w:rPr>
            </w:pPr>
            <w:r w:rsidRPr="00747E7A">
              <w:rPr>
                <w:sz w:val="20"/>
                <w:szCs w:val="20"/>
              </w:rPr>
              <w:t>2021-2025</w:t>
            </w:r>
          </w:p>
          <w:p w14:paraId="667A94B3" w14:textId="16B98D94" w:rsidR="001B5D56" w:rsidRPr="00747E7A" w:rsidRDefault="001B5D56" w:rsidP="00956FCF">
            <w:pPr>
              <w:ind w:firstLine="0"/>
              <w:rPr>
                <w:sz w:val="20"/>
                <w:szCs w:val="20"/>
              </w:rPr>
            </w:pPr>
            <w:r w:rsidRPr="00747E7A">
              <w:rPr>
                <w:sz w:val="20"/>
                <w:szCs w:val="20"/>
              </w:rPr>
              <w:t>2026-2030</w:t>
            </w:r>
          </w:p>
        </w:tc>
        <w:tc>
          <w:tcPr>
            <w:tcW w:w="2845" w:type="dxa"/>
          </w:tcPr>
          <w:p w14:paraId="07A781A7" w14:textId="67E3CFB4" w:rsidR="001B5D56" w:rsidRPr="00747E7A" w:rsidRDefault="001B5D56" w:rsidP="00747E7A">
            <w:pPr>
              <w:ind w:firstLine="0"/>
              <w:rPr>
                <w:sz w:val="20"/>
                <w:szCs w:val="20"/>
              </w:rPr>
            </w:pPr>
            <w:r w:rsidRPr="00747E7A">
              <w:rPr>
                <w:sz w:val="20"/>
                <w:szCs w:val="20"/>
              </w:rPr>
              <w:t>районный бюджет</w:t>
            </w:r>
          </w:p>
        </w:tc>
        <w:tc>
          <w:tcPr>
            <w:tcW w:w="3577" w:type="dxa"/>
            <w:vMerge/>
          </w:tcPr>
          <w:p w14:paraId="4025A95A" w14:textId="77777777" w:rsidR="001B5D56" w:rsidRPr="00747E7A" w:rsidRDefault="001B5D56" w:rsidP="00747E7A">
            <w:pPr>
              <w:ind w:firstLine="0"/>
              <w:rPr>
                <w:sz w:val="20"/>
                <w:szCs w:val="20"/>
              </w:rPr>
            </w:pPr>
          </w:p>
        </w:tc>
      </w:tr>
      <w:tr w:rsidR="00526433" w:rsidRPr="00747E7A" w14:paraId="0E2C4488" w14:textId="77777777" w:rsidTr="00EA4837">
        <w:trPr>
          <w:trHeight w:val="366"/>
        </w:trPr>
        <w:tc>
          <w:tcPr>
            <w:tcW w:w="14626" w:type="dxa"/>
            <w:gridSpan w:val="5"/>
            <w:vAlign w:val="center"/>
          </w:tcPr>
          <w:p w14:paraId="1C55445C" w14:textId="70D02835" w:rsidR="00526433" w:rsidRPr="00747E7A" w:rsidRDefault="00EA4837" w:rsidP="00747E7A">
            <w:pPr>
              <w:ind w:firstLine="0"/>
              <w:jc w:val="center"/>
              <w:rPr>
                <w:b/>
                <w:sz w:val="20"/>
                <w:szCs w:val="20"/>
              </w:rPr>
            </w:pPr>
            <w:r w:rsidRPr="00747E7A">
              <w:rPr>
                <w:b/>
                <w:sz w:val="20"/>
                <w:szCs w:val="20"/>
              </w:rPr>
              <w:lastRenderedPageBreak/>
              <w:t>Приоритет «</w:t>
            </w:r>
            <w:r w:rsidR="005F7694" w:rsidRPr="00747E7A">
              <w:rPr>
                <w:b/>
                <w:sz w:val="20"/>
                <w:szCs w:val="20"/>
              </w:rPr>
              <w:t>Устойчивый экономический комплекс»</w:t>
            </w:r>
          </w:p>
        </w:tc>
      </w:tr>
      <w:tr w:rsidR="001B5D56" w:rsidRPr="00747E7A" w14:paraId="2B081B22" w14:textId="77777777" w:rsidTr="008A0C58">
        <w:trPr>
          <w:trHeight w:val="456"/>
        </w:trPr>
        <w:tc>
          <w:tcPr>
            <w:tcW w:w="3642" w:type="dxa"/>
            <w:vMerge w:val="restart"/>
          </w:tcPr>
          <w:p w14:paraId="108AF282" w14:textId="755BB49C" w:rsidR="001B5D56" w:rsidRPr="00747E7A" w:rsidRDefault="001B5D56" w:rsidP="00747E7A">
            <w:pPr>
              <w:ind w:firstLine="0"/>
              <w:rPr>
                <w:sz w:val="20"/>
                <w:szCs w:val="20"/>
              </w:rPr>
            </w:pPr>
            <w:r w:rsidRPr="00747E7A">
              <w:rPr>
                <w:sz w:val="20"/>
                <w:szCs w:val="20"/>
              </w:rPr>
              <w:t>Направление «Развитие нефтегазодобычи и нефтегазопереработки»</w:t>
            </w:r>
          </w:p>
        </w:tc>
        <w:tc>
          <w:tcPr>
            <w:tcW w:w="3078" w:type="dxa"/>
          </w:tcPr>
          <w:p w14:paraId="5B888D68" w14:textId="462124FC" w:rsidR="001B5D56" w:rsidRPr="00747E7A" w:rsidRDefault="001B5D56" w:rsidP="00747E7A">
            <w:pPr>
              <w:ind w:firstLine="0"/>
              <w:rPr>
                <w:sz w:val="20"/>
                <w:szCs w:val="20"/>
              </w:rPr>
            </w:pPr>
            <w:r w:rsidRPr="00747E7A">
              <w:rPr>
                <w:sz w:val="20"/>
                <w:szCs w:val="20"/>
              </w:rPr>
              <w:t>Комплекс мероприятий по организации разработки трудноизвлекаемых запасов нефти, повышению качества добычи полезных ископаемых (отдачи пластов и их довыработки), уровня переработки нефти и переработки попутного нефтяного газа как для нужд экономики района (диверсификация топливно-энергетического баланса), так и для производства газохимической продукции на свободный рынок</w:t>
            </w:r>
          </w:p>
        </w:tc>
        <w:tc>
          <w:tcPr>
            <w:tcW w:w="1484" w:type="dxa"/>
          </w:tcPr>
          <w:p w14:paraId="65683ECE" w14:textId="77777777" w:rsidR="001B5D56" w:rsidRPr="00747E7A" w:rsidRDefault="001B5D56" w:rsidP="00747E7A">
            <w:pPr>
              <w:ind w:firstLine="0"/>
              <w:rPr>
                <w:sz w:val="20"/>
                <w:szCs w:val="20"/>
              </w:rPr>
            </w:pPr>
            <w:r w:rsidRPr="00747E7A">
              <w:rPr>
                <w:sz w:val="20"/>
                <w:szCs w:val="20"/>
              </w:rPr>
              <w:t>2018-2020</w:t>
            </w:r>
          </w:p>
          <w:p w14:paraId="6B3E5A79" w14:textId="77777777" w:rsidR="001B5D56" w:rsidRPr="00747E7A" w:rsidRDefault="001B5D56" w:rsidP="00747E7A">
            <w:pPr>
              <w:ind w:firstLine="0"/>
              <w:rPr>
                <w:sz w:val="20"/>
                <w:szCs w:val="20"/>
              </w:rPr>
            </w:pPr>
            <w:r w:rsidRPr="00747E7A">
              <w:rPr>
                <w:sz w:val="20"/>
                <w:szCs w:val="20"/>
              </w:rPr>
              <w:t>2021-2025</w:t>
            </w:r>
          </w:p>
          <w:p w14:paraId="20A5BEF3" w14:textId="5221B48A" w:rsidR="001B5D56" w:rsidRPr="00747E7A" w:rsidRDefault="001B5D56" w:rsidP="00747E7A">
            <w:pPr>
              <w:ind w:firstLine="0"/>
              <w:rPr>
                <w:sz w:val="20"/>
                <w:szCs w:val="20"/>
              </w:rPr>
            </w:pPr>
            <w:r w:rsidRPr="00747E7A">
              <w:rPr>
                <w:sz w:val="20"/>
                <w:szCs w:val="20"/>
              </w:rPr>
              <w:t>2026-2030</w:t>
            </w:r>
          </w:p>
        </w:tc>
        <w:tc>
          <w:tcPr>
            <w:tcW w:w="2845" w:type="dxa"/>
          </w:tcPr>
          <w:p w14:paraId="119B46E6" w14:textId="6A9F2702"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val="restart"/>
          </w:tcPr>
          <w:p w14:paraId="0CFB9822" w14:textId="6CF11F98" w:rsidR="001B5D56" w:rsidRPr="00747E7A" w:rsidRDefault="001B5D56" w:rsidP="00747E7A">
            <w:pPr>
              <w:ind w:firstLine="0"/>
              <w:rPr>
                <w:sz w:val="20"/>
                <w:szCs w:val="20"/>
              </w:rPr>
            </w:pPr>
            <w:r w:rsidRPr="00747E7A">
              <w:rPr>
                <w:sz w:val="20"/>
                <w:szCs w:val="20"/>
              </w:rPr>
              <w:t>Комитет по экономической политике и предпринимательству Администрации Нефтеюганского района</w:t>
            </w:r>
          </w:p>
        </w:tc>
      </w:tr>
      <w:tr w:rsidR="001B5D56" w:rsidRPr="00747E7A" w14:paraId="541161D4" w14:textId="77777777" w:rsidTr="008A0C58">
        <w:trPr>
          <w:trHeight w:val="1428"/>
        </w:trPr>
        <w:tc>
          <w:tcPr>
            <w:tcW w:w="3642" w:type="dxa"/>
            <w:vMerge/>
          </w:tcPr>
          <w:p w14:paraId="2BE8E8CC" w14:textId="33BD749E" w:rsidR="001B5D56" w:rsidRPr="00747E7A" w:rsidRDefault="001B5D56" w:rsidP="00747E7A">
            <w:pPr>
              <w:ind w:firstLine="0"/>
              <w:rPr>
                <w:sz w:val="20"/>
                <w:szCs w:val="20"/>
              </w:rPr>
            </w:pPr>
          </w:p>
        </w:tc>
        <w:tc>
          <w:tcPr>
            <w:tcW w:w="3078" w:type="dxa"/>
          </w:tcPr>
          <w:p w14:paraId="21379C93" w14:textId="13CE2AEF" w:rsidR="001B5D56" w:rsidRPr="00747E7A" w:rsidRDefault="001B5D56" w:rsidP="00747E7A">
            <w:pPr>
              <w:ind w:firstLine="0"/>
              <w:rPr>
                <w:sz w:val="20"/>
                <w:szCs w:val="20"/>
              </w:rPr>
            </w:pPr>
            <w:r w:rsidRPr="00747E7A">
              <w:rPr>
                <w:sz w:val="20"/>
                <w:szCs w:val="20"/>
              </w:rPr>
              <w:t>Комплекс мероприятий по модернизации транспортно-логистической системы и трубопроводного транспорта</w:t>
            </w:r>
          </w:p>
        </w:tc>
        <w:tc>
          <w:tcPr>
            <w:tcW w:w="1484" w:type="dxa"/>
          </w:tcPr>
          <w:p w14:paraId="7217F137" w14:textId="77777777" w:rsidR="001B5D56" w:rsidRPr="00747E7A" w:rsidRDefault="001B5D56" w:rsidP="00747E7A">
            <w:pPr>
              <w:ind w:firstLine="0"/>
              <w:rPr>
                <w:sz w:val="20"/>
                <w:szCs w:val="20"/>
              </w:rPr>
            </w:pPr>
            <w:r w:rsidRPr="00747E7A">
              <w:rPr>
                <w:sz w:val="20"/>
                <w:szCs w:val="20"/>
              </w:rPr>
              <w:t>2018-2020</w:t>
            </w:r>
          </w:p>
          <w:p w14:paraId="1B8DB814" w14:textId="77777777" w:rsidR="001B5D56" w:rsidRPr="00747E7A" w:rsidRDefault="001B5D56" w:rsidP="00747E7A">
            <w:pPr>
              <w:ind w:firstLine="0"/>
              <w:rPr>
                <w:sz w:val="20"/>
                <w:szCs w:val="20"/>
              </w:rPr>
            </w:pPr>
            <w:r w:rsidRPr="00747E7A">
              <w:rPr>
                <w:sz w:val="20"/>
                <w:szCs w:val="20"/>
              </w:rPr>
              <w:t>2021-2025</w:t>
            </w:r>
          </w:p>
          <w:p w14:paraId="6D7E6B4C" w14:textId="26DB9CBA" w:rsidR="001B5D56" w:rsidRPr="00747E7A" w:rsidRDefault="001B5D56" w:rsidP="00747E7A">
            <w:pPr>
              <w:ind w:firstLine="0"/>
              <w:rPr>
                <w:sz w:val="20"/>
                <w:szCs w:val="20"/>
              </w:rPr>
            </w:pPr>
            <w:r w:rsidRPr="00747E7A">
              <w:rPr>
                <w:sz w:val="20"/>
                <w:szCs w:val="20"/>
              </w:rPr>
              <w:t>2026-2030</w:t>
            </w:r>
          </w:p>
        </w:tc>
        <w:tc>
          <w:tcPr>
            <w:tcW w:w="2845" w:type="dxa"/>
          </w:tcPr>
          <w:p w14:paraId="25E72FC8" w14:textId="76A868B7"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tcPr>
          <w:p w14:paraId="3120D829" w14:textId="77777777" w:rsidR="001B5D56" w:rsidRPr="00747E7A" w:rsidRDefault="001B5D56" w:rsidP="00747E7A">
            <w:pPr>
              <w:ind w:firstLine="0"/>
              <w:rPr>
                <w:sz w:val="20"/>
                <w:szCs w:val="20"/>
              </w:rPr>
            </w:pPr>
          </w:p>
        </w:tc>
      </w:tr>
      <w:tr w:rsidR="001B5D56" w:rsidRPr="00747E7A" w14:paraId="78936D37" w14:textId="77777777" w:rsidTr="008A0C58">
        <w:trPr>
          <w:trHeight w:val="456"/>
        </w:trPr>
        <w:tc>
          <w:tcPr>
            <w:tcW w:w="3642" w:type="dxa"/>
            <w:vMerge w:val="restart"/>
          </w:tcPr>
          <w:p w14:paraId="6EE309F6" w14:textId="062FACAA" w:rsidR="001B5D56" w:rsidRPr="00747E7A" w:rsidRDefault="001B5D56" w:rsidP="00747E7A">
            <w:pPr>
              <w:ind w:firstLine="0"/>
              <w:rPr>
                <w:sz w:val="20"/>
                <w:szCs w:val="20"/>
              </w:rPr>
            </w:pPr>
            <w:r w:rsidRPr="00747E7A">
              <w:rPr>
                <w:sz w:val="20"/>
                <w:szCs w:val="20"/>
              </w:rPr>
              <w:t>Направление «Диверсификация промышленного производства Нефтеюганского района»</w:t>
            </w:r>
          </w:p>
        </w:tc>
        <w:tc>
          <w:tcPr>
            <w:tcW w:w="3078" w:type="dxa"/>
          </w:tcPr>
          <w:p w14:paraId="17021DED" w14:textId="27816DD1" w:rsidR="001B5D56" w:rsidRPr="00747E7A" w:rsidRDefault="001B5D56" w:rsidP="00747E7A">
            <w:pPr>
              <w:ind w:firstLine="0"/>
              <w:rPr>
                <w:sz w:val="20"/>
                <w:szCs w:val="20"/>
              </w:rPr>
            </w:pPr>
            <w:r w:rsidRPr="00747E7A">
              <w:rPr>
                <w:sz w:val="20"/>
                <w:szCs w:val="20"/>
              </w:rPr>
              <w:t>Комплекс мероприятий по развитию предприятий отраслей машиностроения и металлообработки</w:t>
            </w:r>
          </w:p>
        </w:tc>
        <w:tc>
          <w:tcPr>
            <w:tcW w:w="1484" w:type="dxa"/>
          </w:tcPr>
          <w:p w14:paraId="097C3042" w14:textId="77777777" w:rsidR="001B5D56" w:rsidRPr="00747E7A" w:rsidRDefault="001B5D56" w:rsidP="00747E7A">
            <w:pPr>
              <w:ind w:firstLine="0"/>
              <w:rPr>
                <w:sz w:val="20"/>
                <w:szCs w:val="20"/>
              </w:rPr>
            </w:pPr>
            <w:r w:rsidRPr="00747E7A">
              <w:rPr>
                <w:sz w:val="20"/>
                <w:szCs w:val="20"/>
              </w:rPr>
              <w:t>2018-2020</w:t>
            </w:r>
          </w:p>
          <w:p w14:paraId="7C540CD8" w14:textId="77777777" w:rsidR="001B5D56" w:rsidRPr="00747E7A" w:rsidRDefault="001B5D56" w:rsidP="00747E7A">
            <w:pPr>
              <w:ind w:firstLine="0"/>
              <w:rPr>
                <w:sz w:val="20"/>
                <w:szCs w:val="20"/>
              </w:rPr>
            </w:pPr>
            <w:r w:rsidRPr="00747E7A">
              <w:rPr>
                <w:sz w:val="20"/>
                <w:szCs w:val="20"/>
              </w:rPr>
              <w:t>2021-2025</w:t>
            </w:r>
          </w:p>
          <w:p w14:paraId="4742D4CE" w14:textId="3F7DB580" w:rsidR="001B5D56" w:rsidRPr="00747E7A" w:rsidRDefault="001B5D56" w:rsidP="00747E7A">
            <w:pPr>
              <w:ind w:firstLine="0"/>
              <w:rPr>
                <w:sz w:val="20"/>
                <w:szCs w:val="20"/>
              </w:rPr>
            </w:pPr>
            <w:r w:rsidRPr="00747E7A">
              <w:rPr>
                <w:sz w:val="20"/>
                <w:szCs w:val="20"/>
              </w:rPr>
              <w:t>2026-2030</w:t>
            </w:r>
          </w:p>
        </w:tc>
        <w:tc>
          <w:tcPr>
            <w:tcW w:w="2845" w:type="dxa"/>
          </w:tcPr>
          <w:p w14:paraId="69EAB627" w14:textId="7C17C654" w:rsidR="001B5D56" w:rsidRPr="00747E7A" w:rsidRDefault="001B5D56" w:rsidP="00747E7A">
            <w:pPr>
              <w:ind w:firstLine="0"/>
              <w:rPr>
                <w:sz w:val="20"/>
                <w:szCs w:val="20"/>
              </w:rPr>
            </w:pPr>
            <w:r w:rsidRPr="00747E7A">
              <w:rPr>
                <w:sz w:val="20"/>
                <w:szCs w:val="20"/>
              </w:rPr>
              <w:t xml:space="preserve">внебюджетные средства </w:t>
            </w:r>
          </w:p>
        </w:tc>
        <w:tc>
          <w:tcPr>
            <w:tcW w:w="3577" w:type="dxa"/>
            <w:vMerge w:val="restart"/>
          </w:tcPr>
          <w:p w14:paraId="6C5AF5C5" w14:textId="7B041F9A" w:rsidR="001B5D56" w:rsidRPr="00747E7A" w:rsidRDefault="001B5D56" w:rsidP="00747E7A">
            <w:pPr>
              <w:ind w:firstLine="0"/>
              <w:rPr>
                <w:sz w:val="20"/>
                <w:szCs w:val="20"/>
              </w:rPr>
            </w:pPr>
            <w:r w:rsidRPr="00747E7A">
              <w:rPr>
                <w:sz w:val="20"/>
                <w:szCs w:val="20"/>
              </w:rPr>
              <w:t>Комитет по экономической политике и предпринимательству Администрации Нефтеюганского района</w:t>
            </w:r>
          </w:p>
        </w:tc>
      </w:tr>
      <w:tr w:rsidR="001B5D56" w:rsidRPr="00747E7A" w14:paraId="2C659381" w14:textId="77777777" w:rsidTr="008A0C58">
        <w:trPr>
          <w:trHeight w:val="456"/>
        </w:trPr>
        <w:tc>
          <w:tcPr>
            <w:tcW w:w="3642" w:type="dxa"/>
            <w:vMerge/>
          </w:tcPr>
          <w:p w14:paraId="36DD53E1" w14:textId="77777777" w:rsidR="001B5D56" w:rsidRPr="00747E7A" w:rsidRDefault="001B5D56" w:rsidP="00747E7A">
            <w:pPr>
              <w:ind w:firstLine="0"/>
              <w:rPr>
                <w:sz w:val="20"/>
                <w:szCs w:val="20"/>
              </w:rPr>
            </w:pPr>
          </w:p>
        </w:tc>
        <w:tc>
          <w:tcPr>
            <w:tcW w:w="3078" w:type="dxa"/>
          </w:tcPr>
          <w:p w14:paraId="63E7B5BA" w14:textId="0CD61D5B" w:rsidR="001B5D56" w:rsidRPr="00747E7A" w:rsidRDefault="001B5D56" w:rsidP="00747E7A">
            <w:pPr>
              <w:ind w:firstLine="0"/>
              <w:rPr>
                <w:sz w:val="20"/>
                <w:szCs w:val="20"/>
              </w:rPr>
            </w:pPr>
            <w:r w:rsidRPr="00747E7A">
              <w:rPr>
                <w:sz w:val="20"/>
                <w:szCs w:val="20"/>
              </w:rPr>
              <w:t>Комплекс мероприятий по развитию лесопромышленного комплекса за счет создания предприятий, осуществляющих глубокую переработку древесины</w:t>
            </w:r>
          </w:p>
        </w:tc>
        <w:tc>
          <w:tcPr>
            <w:tcW w:w="1484" w:type="dxa"/>
          </w:tcPr>
          <w:p w14:paraId="6EA03ABB" w14:textId="77777777" w:rsidR="001B5D56" w:rsidRPr="00747E7A" w:rsidRDefault="001B5D56" w:rsidP="00747E7A">
            <w:pPr>
              <w:ind w:firstLine="0"/>
              <w:rPr>
                <w:sz w:val="20"/>
                <w:szCs w:val="20"/>
              </w:rPr>
            </w:pPr>
            <w:r w:rsidRPr="00747E7A">
              <w:rPr>
                <w:sz w:val="20"/>
                <w:szCs w:val="20"/>
              </w:rPr>
              <w:t>2018-2020</w:t>
            </w:r>
          </w:p>
          <w:p w14:paraId="13FA14B1" w14:textId="77777777" w:rsidR="001B5D56" w:rsidRPr="00747E7A" w:rsidRDefault="001B5D56" w:rsidP="00747E7A">
            <w:pPr>
              <w:ind w:firstLine="0"/>
              <w:rPr>
                <w:sz w:val="20"/>
                <w:szCs w:val="20"/>
              </w:rPr>
            </w:pPr>
            <w:r w:rsidRPr="00747E7A">
              <w:rPr>
                <w:sz w:val="20"/>
                <w:szCs w:val="20"/>
              </w:rPr>
              <w:t>2021-2025</w:t>
            </w:r>
          </w:p>
          <w:p w14:paraId="4B339C5A" w14:textId="7BF88E68" w:rsidR="001B5D56" w:rsidRPr="00747E7A" w:rsidRDefault="001B5D56" w:rsidP="00747E7A">
            <w:pPr>
              <w:ind w:firstLine="0"/>
              <w:rPr>
                <w:sz w:val="20"/>
                <w:szCs w:val="20"/>
              </w:rPr>
            </w:pPr>
            <w:r w:rsidRPr="00747E7A">
              <w:rPr>
                <w:sz w:val="20"/>
                <w:szCs w:val="20"/>
              </w:rPr>
              <w:t>2026-2030</w:t>
            </w:r>
          </w:p>
        </w:tc>
        <w:tc>
          <w:tcPr>
            <w:tcW w:w="2845" w:type="dxa"/>
          </w:tcPr>
          <w:p w14:paraId="1602053C" w14:textId="37208BC3"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tcPr>
          <w:p w14:paraId="668F8EC9" w14:textId="77777777" w:rsidR="001B5D56" w:rsidRPr="00747E7A" w:rsidRDefault="001B5D56" w:rsidP="00747E7A">
            <w:pPr>
              <w:ind w:firstLine="0"/>
              <w:rPr>
                <w:sz w:val="20"/>
                <w:szCs w:val="20"/>
              </w:rPr>
            </w:pPr>
          </w:p>
        </w:tc>
      </w:tr>
      <w:tr w:rsidR="001B5D56" w:rsidRPr="00747E7A" w14:paraId="15763ED2" w14:textId="77777777" w:rsidTr="008A0C58">
        <w:trPr>
          <w:trHeight w:val="456"/>
        </w:trPr>
        <w:tc>
          <w:tcPr>
            <w:tcW w:w="3642" w:type="dxa"/>
            <w:vMerge/>
          </w:tcPr>
          <w:p w14:paraId="5D23454E" w14:textId="77777777" w:rsidR="001B5D56" w:rsidRPr="00747E7A" w:rsidRDefault="001B5D56" w:rsidP="00747E7A">
            <w:pPr>
              <w:ind w:firstLine="0"/>
              <w:rPr>
                <w:sz w:val="20"/>
                <w:szCs w:val="20"/>
              </w:rPr>
            </w:pPr>
          </w:p>
        </w:tc>
        <w:tc>
          <w:tcPr>
            <w:tcW w:w="3078" w:type="dxa"/>
          </w:tcPr>
          <w:p w14:paraId="2D26AAB0" w14:textId="3487AECA" w:rsidR="001B5D56" w:rsidRPr="00747E7A" w:rsidRDefault="001B5D56" w:rsidP="00747E7A">
            <w:pPr>
              <w:ind w:firstLine="0"/>
              <w:rPr>
                <w:sz w:val="20"/>
                <w:szCs w:val="20"/>
              </w:rPr>
            </w:pPr>
            <w:r w:rsidRPr="00747E7A">
              <w:rPr>
                <w:sz w:val="20"/>
                <w:szCs w:val="20"/>
              </w:rPr>
              <w:t xml:space="preserve">Комплекс мероприятий по созданию предприятий в сфере добычи минеральных ресурсов и </w:t>
            </w:r>
            <w:r w:rsidRPr="00747E7A">
              <w:rPr>
                <w:sz w:val="20"/>
                <w:szCs w:val="20"/>
              </w:rPr>
              <w:lastRenderedPageBreak/>
              <w:t>производства строительных материалов, использующих минерально-сырьевую базу района</w:t>
            </w:r>
          </w:p>
        </w:tc>
        <w:tc>
          <w:tcPr>
            <w:tcW w:w="1484" w:type="dxa"/>
          </w:tcPr>
          <w:p w14:paraId="792493CE" w14:textId="77777777" w:rsidR="001B5D56" w:rsidRPr="00747E7A" w:rsidRDefault="001B5D56" w:rsidP="00747E7A">
            <w:pPr>
              <w:ind w:firstLine="0"/>
              <w:rPr>
                <w:sz w:val="20"/>
                <w:szCs w:val="20"/>
              </w:rPr>
            </w:pPr>
            <w:r w:rsidRPr="00747E7A">
              <w:rPr>
                <w:sz w:val="20"/>
                <w:szCs w:val="20"/>
              </w:rPr>
              <w:lastRenderedPageBreak/>
              <w:t>2018-2020</w:t>
            </w:r>
          </w:p>
          <w:p w14:paraId="0B473854" w14:textId="77777777" w:rsidR="001B5D56" w:rsidRPr="00747E7A" w:rsidRDefault="001B5D56" w:rsidP="00747E7A">
            <w:pPr>
              <w:ind w:firstLine="0"/>
              <w:rPr>
                <w:sz w:val="20"/>
                <w:szCs w:val="20"/>
              </w:rPr>
            </w:pPr>
            <w:r w:rsidRPr="00747E7A">
              <w:rPr>
                <w:sz w:val="20"/>
                <w:szCs w:val="20"/>
              </w:rPr>
              <w:t>2021-2025</w:t>
            </w:r>
          </w:p>
          <w:p w14:paraId="3F6EE440" w14:textId="4648B6F9" w:rsidR="001B5D56" w:rsidRPr="00747E7A" w:rsidRDefault="001B5D56" w:rsidP="00747E7A">
            <w:pPr>
              <w:ind w:firstLine="0"/>
              <w:rPr>
                <w:sz w:val="20"/>
                <w:szCs w:val="20"/>
              </w:rPr>
            </w:pPr>
            <w:r w:rsidRPr="00747E7A">
              <w:rPr>
                <w:sz w:val="20"/>
                <w:szCs w:val="20"/>
              </w:rPr>
              <w:t>2026-2030</w:t>
            </w:r>
          </w:p>
        </w:tc>
        <w:tc>
          <w:tcPr>
            <w:tcW w:w="2845" w:type="dxa"/>
          </w:tcPr>
          <w:p w14:paraId="1C373B93" w14:textId="649D2816"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tcPr>
          <w:p w14:paraId="0DF54574" w14:textId="77777777" w:rsidR="001B5D56" w:rsidRPr="00747E7A" w:rsidRDefault="001B5D56" w:rsidP="00747E7A">
            <w:pPr>
              <w:ind w:firstLine="0"/>
              <w:rPr>
                <w:sz w:val="20"/>
                <w:szCs w:val="20"/>
              </w:rPr>
            </w:pPr>
          </w:p>
        </w:tc>
      </w:tr>
      <w:tr w:rsidR="001B5D56" w:rsidRPr="00747E7A" w14:paraId="5A27805A" w14:textId="77777777" w:rsidTr="008A0C58">
        <w:trPr>
          <w:trHeight w:val="456"/>
        </w:trPr>
        <w:tc>
          <w:tcPr>
            <w:tcW w:w="3642" w:type="dxa"/>
            <w:vMerge/>
          </w:tcPr>
          <w:p w14:paraId="6820A398" w14:textId="77777777" w:rsidR="001B5D56" w:rsidRPr="00747E7A" w:rsidRDefault="001B5D56" w:rsidP="00747E7A">
            <w:pPr>
              <w:ind w:firstLine="0"/>
              <w:rPr>
                <w:sz w:val="20"/>
                <w:szCs w:val="20"/>
              </w:rPr>
            </w:pPr>
          </w:p>
        </w:tc>
        <w:tc>
          <w:tcPr>
            <w:tcW w:w="3078" w:type="dxa"/>
          </w:tcPr>
          <w:p w14:paraId="4730F222" w14:textId="6A29D300" w:rsidR="001B5D56" w:rsidRPr="00747E7A" w:rsidRDefault="001B5D56" w:rsidP="00747E7A">
            <w:pPr>
              <w:ind w:firstLine="0"/>
              <w:rPr>
                <w:sz w:val="20"/>
                <w:szCs w:val="20"/>
              </w:rPr>
            </w:pPr>
            <w:r w:rsidRPr="00747E7A">
              <w:rPr>
                <w:sz w:val="20"/>
                <w:szCs w:val="20"/>
              </w:rPr>
              <w:t>Оказание содействия в разработке карьеров строительных материалов (глины, песка)</w:t>
            </w:r>
          </w:p>
        </w:tc>
        <w:tc>
          <w:tcPr>
            <w:tcW w:w="1484" w:type="dxa"/>
          </w:tcPr>
          <w:p w14:paraId="2A1019AD" w14:textId="77777777" w:rsidR="001B5D56" w:rsidRPr="00747E7A" w:rsidRDefault="001B5D56" w:rsidP="00747E7A">
            <w:pPr>
              <w:ind w:firstLine="0"/>
              <w:rPr>
                <w:sz w:val="20"/>
                <w:szCs w:val="20"/>
              </w:rPr>
            </w:pPr>
            <w:r w:rsidRPr="00747E7A">
              <w:rPr>
                <w:sz w:val="20"/>
                <w:szCs w:val="20"/>
              </w:rPr>
              <w:t>2018-2020</w:t>
            </w:r>
          </w:p>
          <w:p w14:paraId="3BC5DC1E" w14:textId="39186D44" w:rsidR="001B5D56" w:rsidRPr="00747E7A" w:rsidRDefault="001B5D56" w:rsidP="00747E7A">
            <w:pPr>
              <w:ind w:firstLine="0"/>
              <w:rPr>
                <w:sz w:val="20"/>
                <w:szCs w:val="20"/>
              </w:rPr>
            </w:pPr>
            <w:r w:rsidRPr="00747E7A">
              <w:rPr>
                <w:sz w:val="20"/>
                <w:szCs w:val="20"/>
              </w:rPr>
              <w:t>2021-2025</w:t>
            </w:r>
          </w:p>
        </w:tc>
        <w:tc>
          <w:tcPr>
            <w:tcW w:w="2845" w:type="dxa"/>
          </w:tcPr>
          <w:p w14:paraId="309A359A" w14:textId="769E8C6E"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tcPr>
          <w:p w14:paraId="27073275" w14:textId="77777777" w:rsidR="001B5D56" w:rsidRPr="00747E7A" w:rsidRDefault="001B5D56" w:rsidP="00747E7A">
            <w:pPr>
              <w:ind w:firstLine="0"/>
              <w:rPr>
                <w:sz w:val="20"/>
                <w:szCs w:val="20"/>
              </w:rPr>
            </w:pPr>
          </w:p>
        </w:tc>
      </w:tr>
      <w:tr w:rsidR="001B5D56" w:rsidRPr="00747E7A" w14:paraId="2958D71F" w14:textId="77777777" w:rsidTr="008A0C58">
        <w:trPr>
          <w:trHeight w:val="456"/>
        </w:trPr>
        <w:tc>
          <w:tcPr>
            <w:tcW w:w="3642" w:type="dxa"/>
            <w:vMerge/>
          </w:tcPr>
          <w:p w14:paraId="38772447" w14:textId="77777777" w:rsidR="001B5D56" w:rsidRPr="00747E7A" w:rsidRDefault="001B5D56" w:rsidP="00747E7A">
            <w:pPr>
              <w:ind w:firstLine="0"/>
              <w:rPr>
                <w:sz w:val="20"/>
                <w:szCs w:val="20"/>
              </w:rPr>
            </w:pPr>
          </w:p>
        </w:tc>
        <w:tc>
          <w:tcPr>
            <w:tcW w:w="3078" w:type="dxa"/>
          </w:tcPr>
          <w:p w14:paraId="4DB784AB" w14:textId="6190972A" w:rsidR="001B5D56" w:rsidRPr="00747E7A" w:rsidRDefault="001B5D56" w:rsidP="00747E7A">
            <w:pPr>
              <w:ind w:firstLine="0"/>
              <w:rPr>
                <w:sz w:val="20"/>
                <w:szCs w:val="20"/>
              </w:rPr>
            </w:pPr>
            <w:r w:rsidRPr="00747E7A">
              <w:rPr>
                <w:sz w:val="20"/>
                <w:szCs w:val="20"/>
              </w:rPr>
              <w:t>Оказание содействия в организации на территории пгт. Пойковский кирпичного завода</w:t>
            </w:r>
          </w:p>
        </w:tc>
        <w:tc>
          <w:tcPr>
            <w:tcW w:w="1484" w:type="dxa"/>
          </w:tcPr>
          <w:p w14:paraId="4C1F6619" w14:textId="77777777" w:rsidR="001B5D56" w:rsidRPr="00747E7A" w:rsidRDefault="001B5D56" w:rsidP="00747E7A">
            <w:pPr>
              <w:ind w:firstLine="0"/>
              <w:rPr>
                <w:sz w:val="20"/>
                <w:szCs w:val="20"/>
              </w:rPr>
            </w:pPr>
            <w:r w:rsidRPr="00747E7A">
              <w:rPr>
                <w:sz w:val="20"/>
                <w:szCs w:val="20"/>
              </w:rPr>
              <w:t>2018-2020</w:t>
            </w:r>
          </w:p>
          <w:p w14:paraId="14697BE6" w14:textId="1F5C114A" w:rsidR="001B5D56" w:rsidRPr="00747E7A" w:rsidRDefault="001B5D56" w:rsidP="00747E7A">
            <w:pPr>
              <w:ind w:firstLine="0"/>
              <w:rPr>
                <w:sz w:val="20"/>
                <w:szCs w:val="20"/>
              </w:rPr>
            </w:pPr>
            <w:r w:rsidRPr="00747E7A">
              <w:rPr>
                <w:sz w:val="20"/>
                <w:szCs w:val="20"/>
              </w:rPr>
              <w:t>2021-2025</w:t>
            </w:r>
          </w:p>
        </w:tc>
        <w:tc>
          <w:tcPr>
            <w:tcW w:w="2845" w:type="dxa"/>
          </w:tcPr>
          <w:p w14:paraId="2DC2EFFC" w14:textId="3B7E5AF0"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tcPr>
          <w:p w14:paraId="2A7D70B0" w14:textId="77777777" w:rsidR="001B5D56" w:rsidRPr="00747E7A" w:rsidRDefault="001B5D56" w:rsidP="00747E7A">
            <w:pPr>
              <w:ind w:firstLine="0"/>
              <w:rPr>
                <w:sz w:val="20"/>
                <w:szCs w:val="20"/>
              </w:rPr>
            </w:pPr>
          </w:p>
        </w:tc>
      </w:tr>
      <w:tr w:rsidR="001B5D56" w:rsidRPr="00747E7A" w14:paraId="45F77800" w14:textId="77777777" w:rsidTr="008A0C58">
        <w:trPr>
          <w:trHeight w:val="456"/>
        </w:trPr>
        <w:tc>
          <w:tcPr>
            <w:tcW w:w="3642" w:type="dxa"/>
            <w:vMerge/>
          </w:tcPr>
          <w:p w14:paraId="32EE1043" w14:textId="77777777" w:rsidR="001B5D56" w:rsidRPr="00747E7A" w:rsidRDefault="001B5D56" w:rsidP="00747E7A">
            <w:pPr>
              <w:ind w:firstLine="0"/>
              <w:rPr>
                <w:sz w:val="20"/>
                <w:szCs w:val="20"/>
              </w:rPr>
            </w:pPr>
          </w:p>
        </w:tc>
        <w:tc>
          <w:tcPr>
            <w:tcW w:w="3078" w:type="dxa"/>
          </w:tcPr>
          <w:p w14:paraId="71F2A1E5" w14:textId="0304233E" w:rsidR="001B5D56" w:rsidRPr="00747E7A" w:rsidRDefault="001B5D56" w:rsidP="00747E7A">
            <w:pPr>
              <w:ind w:firstLine="0"/>
              <w:rPr>
                <w:sz w:val="20"/>
                <w:szCs w:val="20"/>
              </w:rPr>
            </w:pPr>
            <w:r w:rsidRPr="00747E7A">
              <w:rPr>
                <w:sz w:val="20"/>
                <w:szCs w:val="20"/>
              </w:rPr>
              <w:t>Оказание содействия в строительстве завода по изготовлению теплоизоляционный блоков из торфа «Геокар»</w:t>
            </w:r>
          </w:p>
        </w:tc>
        <w:tc>
          <w:tcPr>
            <w:tcW w:w="1484" w:type="dxa"/>
          </w:tcPr>
          <w:p w14:paraId="649F5BB3" w14:textId="77777777" w:rsidR="001B5D56" w:rsidRPr="00747E7A" w:rsidRDefault="001B5D56" w:rsidP="00747E7A">
            <w:pPr>
              <w:ind w:firstLine="0"/>
              <w:rPr>
                <w:sz w:val="20"/>
                <w:szCs w:val="20"/>
              </w:rPr>
            </w:pPr>
            <w:r w:rsidRPr="00747E7A">
              <w:rPr>
                <w:sz w:val="20"/>
                <w:szCs w:val="20"/>
              </w:rPr>
              <w:t>2018-2020</w:t>
            </w:r>
          </w:p>
          <w:p w14:paraId="0439B9F1" w14:textId="3F26BCA2" w:rsidR="001B5D56" w:rsidRPr="00747E7A" w:rsidRDefault="001B5D56" w:rsidP="00747E7A">
            <w:pPr>
              <w:ind w:firstLine="0"/>
              <w:rPr>
                <w:sz w:val="20"/>
                <w:szCs w:val="20"/>
              </w:rPr>
            </w:pPr>
            <w:r w:rsidRPr="00747E7A">
              <w:rPr>
                <w:sz w:val="20"/>
                <w:szCs w:val="20"/>
              </w:rPr>
              <w:t>2021-2025</w:t>
            </w:r>
          </w:p>
        </w:tc>
        <w:tc>
          <w:tcPr>
            <w:tcW w:w="2845" w:type="dxa"/>
          </w:tcPr>
          <w:p w14:paraId="359F0DD2" w14:textId="79737024"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tcPr>
          <w:p w14:paraId="31E1FEC4" w14:textId="77777777" w:rsidR="001B5D56" w:rsidRPr="00747E7A" w:rsidRDefault="001B5D56" w:rsidP="00747E7A">
            <w:pPr>
              <w:ind w:firstLine="0"/>
              <w:rPr>
                <w:sz w:val="20"/>
                <w:szCs w:val="20"/>
              </w:rPr>
            </w:pPr>
          </w:p>
        </w:tc>
      </w:tr>
      <w:tr w:rsidR="001B5D56" w:rsidRPr="00747E7A" w14:paraId="23EC7377" w14:textId="77777777" w:rsidTr="008A0C58">
        <w:trPr>
          <w:trHeight w:val="456"/>
        </w:trPr>
        <w:tc>
          <w:tcPr>
            <w:tcW w:w="3642" w:type="dxa"/>
            <w:vMerge/>
          </w:tcPr>
          <w:p w14:paraId="2D770106" w14:textId="77777777" w:rsidR="001B5D56" w:rsidRPr="00747E7A" w:rsidRDefault="001B5D56" w:rsidP="00747E7A">
            <w:pPr>
              <w:ind w:firstLine="0"/>
              <w:rPr>
                <w:sz w:val="20"/>
                <w:szCs w:val="20"/>
              </w:rPr>
            </w:pPr>
          </w:p>
        </w:tc>
        <w:tc>
          <w:tcPr>
            <w:tcW w:w="3078" w:type="dxa"/>
          </w:tcPr>
          <w:p w14:paraId="496F080A" w14:textId="50C8B419" w:rsidR="001B5D56" w:rsidRPr="00747E7A" w:rsidRDefault="001B5D56" w:rsidP="00747E7A">
            <w:pPr>
              <w:ind w:firstLine="0"/>
              <w:rPr>
                <w:sz w:val="20"/>
                <w:szCs w:val="20"/>
              </w:rPr>
            </w:pPr>
            <w:r w:rsidRPr="00747E7A">
              <w:rPr>
                <w:sz w:val="20"/>
                <w:szCs w:val="20"/>
              </w:rPr>
              <w:t>Оказание содействия в организации производства дверных, оконных блоков</w:t>
            </w:r>
          </w:p>
        </w:tc>
        <w:tc>
          <w:tcPr>
            <w:tcW w:w="1484" w:type="dxa"/>
          </w:tcPr>
          <w:p w14:paraId="15978E7B" w14:textId="77777777" w:rsidR="001B5D56" w:rsidRPr="00747E7A" w:rsidRDefault="001B5D56" w:rsidP="00747E7A">
            <w:pPr>
              <w:ind w:firstLine="0"/>
              <w:rPr>
                <w:sz w:val="20"/>
                <w:szCs w:val="20"/>
              </w:rPr>
            </w:pPr>
            <w:r w:rsidRPr="00747E7A">
              <w:rPr>
                <w:sz w:val="20"/>
                <w:szCs w:val="20"/>
              </w:rPr>
              <w:t>2018-2020</w:t>
            </w:r>
          </w:p>
          <w:p w14:paraId="7241CFD6" w14:textId="77777777" w:rsidR="001B5D56" w:rsidRPr="00747E7A" w:rsidRDefault="001B5D56" w:rsidP="00747E7A">
            <w:pPr>
              <w:ind w:firstLine="0"/>
              <w:rPr>
                <w:sz w:val="20"/>
                <w:szCs w:val="20"/>
              </w:rPr>
            </w:pPr>
            <w:r w:rsidRPr="00747E7A">
              <w:rPr>
                <w:sz w:val="20"/>
                <w:szCs w:val="20"/>
              </w:rPr>
              <w:t>2021-2025</w:t>
            </w:r>
          </w:p>
          <w:p w14:paraId="43943EB3" w14:textId="61CF3133" w:rsidR="001B5D56" w:rsidRPr="00747E7A" w:rsidRDefault="001B5D56" w:rsidP="00747E7A">
            <w:pPr>
              <w:ind w:firstLine="0"/>
              <w:rPr>
                <w:sz w:val="20"/>
                <w:szCs w:val="20"/>
              </w:rPr>
            </w:pPr>
            <w:r w:rsidRPr="00747E7A">
              <w:rPr>
                <w:sz w:val="20"/>
                <w:szCs w:val="20"/>
              </w:rPr>
              <w:t>2026-2030</w:t>
            </w:r>
          </w:p>
        </w:tc>
        <w:tc>
          <w:tcPr>
            <w:tcW w:w="2845" w:type="dxa"/>
          </w:tcPr>
          <w:p w14:paraId="2936356A" w14:textId="5CA215CE" w:rsidR="001B5D56" w:rsidRPr="00747E7A" w:rsidRDefault="001B5D56" w:rsidP="00747E7A">
            <w:pPr>
              <w:ind w:firstLine="0"/>
              <w:rPr>
                <w:sz w:val="20"/>
                <w:szCs w:val="20"/>
              </w:rPr>
            </w:pPr>
            <w:r w:rsidRPr="00747E7A">
              <w:rPr>
                <w:sz w:val="20"/>
                <w:szCs w:val="20"/>
              </w:rPr>
              <w:t>внебюджетные средства</w:t>
            </w:r>
          </w:p>
        </w:tc>
        <w:tc>
          <w:tcPr>
            <w:tcW w:w="3577" w:type="dxa"/>
            <w:vMerge/>
          </w:tcPr>
          <w:p w14:paraId="1FABFBED" w14:textId="77777777" w:rsidR="001B5D56" w:rsidRPr="00747E7A" w:rsidRDefault="001B5D56" w:rsidP="00747E7A">
            <w:pPr>
              <w:ind w:firstLine="0"/>
              <w:rPr>
                <w:sz w:val="20"/>
                <w:szCs w:val="20"/>
              </w:rPr>
            </w:pPr>
          </w:p>
        </w:tc>
      </w:tr>
      <w:tr w:rsidR="001B5D56" w:rsidRPr="00747E7A" w14:paraId="0A8FEC0F" w14:textId="77777777" w:rsidTr="001B5D56">
        <w:trPr>
          <w:trHeight w:val="456"/>
        </w:trPr>
        <w:tc>
          <w:tcPr>
            <w:tcW w:w="3642" w:type="dxa"/>
            <w:vMerge w:val="restart"/>
          </w:tcPr>
          <w:p w14:paraId="754AE966" w14:textId="37D9A2DA" w:rsidR="001B5D56" w:rsidRPr="00747E7A" w:rsidRDefault="001B5D56" w:rsidP="00747E7A">
            <w:pPr>
              <w:ind w:firstLine="0"/>
              <w:rPr>
                <w:sz w:val="20"/>
                <w:szCs w:val="20"/>
              </w:rPr>
            </w:pPr>
            <w:r w:rsidRPr="00747E7A">
              <w:rPr>
                <w:sz w:val="20"/>
                <w:szCs w:val="20"/>
              </w:rPr>
              <w:t>Направление «Развитие агропромышленного комплекса»</w:t>
            </w:r>
          </w:p>
        </w:tc>
        <w:tc>
          <w:tcPr>
            <w:tcW w:w="3078" w:type="dxa"/>
            <w:vAlign w:val="center"/>
          </w:tcPr>
          <w:p w14:paraId="55E8E27E" w14:textId="69BECA64" w:rsidR="001B5D56" w:rsidRPr="00747E7A" w:rsidRDefault="001B5D56" w:rsidP="00747E7A">
            <w:pPr>
              <w:ind w:firstLine="0"/>
              <w:rPr>
                <w:sz w:val="20"/>
                <w:szCs w:val="20"/>
              </w:rPr>
            </w:pPr>
            <w:r w:rsidRPr="00747E7A">
              <w:rPr>
                <w:sz w:val="20"/>
                <w:szCs w:val="20"/>
              </w:rPr>
              <w:t>Комплекс мероприятий по развитию отраслей растениеводства и животноводства, переработки и реализации продукции</w:t>
            </w:r>
          </w:p>
        </w:tc>
        <w:tc>
          <w:tcPr>
            <w:tcW w:w="1484" w:type="dxa"/>
          </w:tcPr>
          <w:p w14:paraId="27489B1A" w14:textId="77777777" w:rsidR="001B5D56" w:rsidRPr="00747E7A" w:rsidRDefault="001B5D56" w:rsidP="00747E7A">
            <w:pPr>
              <w:ind w:firstLine="0"/>
              <w:rPr>
                <w:sz w:val="20"/>
                <w:szCs w:val="20"/>
              </w:rPr>
            </w:pPr>
            <w:r w:rsidRPr="00747E7A">
              <w:rPr>
                <w:sz w:val="20"/>
                <w:szCs w:val="20"/>
              </w:rPr>
              <w:t>2018-2020</w:t>
            </w:r>
          </w:p>
          <w:p w14:paraId="2772FE54" w14:textId="77777777" w:rsidR="001B5D56" w:rsidRPr="00747E7A" w:rsidRDefault="001B5D56" w:rsidP="00747E7A">
            <w:pPr>
              <w:ind w:firstLine="0"/>
              <w:rPr>
                <w:sz w:val="20"/>
                <w:szCs w:val="20"/>
              </w:rPr>
            </w:pPr>
            <w:r w:rsidRPr="00747E7A">
              <w:rPr>
                <w:sz w:val="20"/>
                <w:szCs w:val="20"/>
              </w:rPr>
              <w:t>2021-2025</w:t>
            </w:r>
          </w:p>
          <w:p w14:paraId="6245E01A" w14:textId="019393BE" w:rsidR="001B5D56" w:rsidRPr="00747E7A" w:rsidRDefault="001B5D56" w:rsidP="00747E7A">
            <w:pPr>
              <w:ind w:firstLine="0"/>
              <w:rPr>
                <w:sz w:val="20"/>
                <w:szCs w:val="20"/>
              </w:rPr>
            </w:pPr>
            <w:r w:rsidRPr="00747E7A">
              <w:rPr>
                <w:sz w:val="20"/>
                <w:szCs w:val="20"/>
              </w:rPr>
              <w:t>2026-2030</w:t>
            </w:r>
          </w:p>
        </w:tc>
        <w:tc>
          <w:tcPr>
            <w:tcW w:w="2845" w:type="dxa"/>
          </w:tcPr>
          <w:p w14:paraId="2DB3279A" w14:textId="55CB41C3" w:rsidR="001B5D56" w:rsidRPr="00747E7A" w:rsidRDefault="001B5D56" w:rsidP="00114969">
            <w:pPr>
              <w:ind w:firstLine="0"/>
              <w:jc w:val="left"/>
              <w:rPr>
                <w:sz w:val="20"/>
                <w:szCs w:val="20"/>
              </w:rPr>
            </w:pPr>
            <w:r w:rsidRPr="00747E7A">
              <w:rPr>
                <w:sz w:val="20"/>
                <w:szCs w:val="20"/>
              </w:rPr>
              <w:t>бюджет автоно</w:t>
            </w:r>
            <w:r>
              <w:rPr>
                <w:sz w:val="20"/>
                <w:szCs w:val="20"/>
              </w:rPr>
              <w:t xml:space="preserve">много округа, районный бюджет, </w:t>
            </w:r>
            <w:r w:rsidRPr="00747E7A">
              <w:rPr>
                <w:sz w:val="20"/>
                <w:szCs w:val="20"/>
              </w:rPr>
              <w:t>внебюджетные средства</w:t>
            </w:r>
          </w:p>
        </w:tc>
        <w:tc>
          <w:tcPr>
            <w:tcW w:w="3577" w:type="dxa"/>
            <w:vMerge w:val="restart"/>
          </w:tcPr>
          <w:p w14:paraId="4D0316D6" w14:textId="5B6AA48B" w:rsidR="001B5D56" w:rsidRPr="00747E7A" w:rsidRDefault="001B5D56" w:rsidP="00747E7A">
            <w:pPr>
              <w:ind w:firstLine="0"/>
              <w:rPr>
                <w:sz w:val="20"/>
                <w:szCs w:val="20"/>
              </w:rPr>
            </w:pPr>
            <w:r w:rsidRPr="00747E7A">
              <w:rPr>
                <w:sz w:val="20"/>
                <w:szCs w:val="20"/>
              </w:rPr>
              <w:t>Отдел по сельскому хозяйству Администрации Нефтеюганского района</w:t>
            </w:r>
          </w:p>
        </w:tc>
      </w:tr>
      <w:tr w:rsidR="001B5D56" w:rsidRPr="00747E7A" w14:paraId="2CDABD28" w14:textId="77777777" w:rsidTr="008A0C58">
        <w:trPr>
          <w:trHeight w:val="456"/>
        </w:trPr>
        <w:tc>
          <w:tcPr>
            <w:tcW w:w="3642" w:type="dxa"/>
            <w:vMerge/>
          </w:tcPr>
          <w:p w14:paraId="15BFACF9" w14:textId="77777777" w:rsidR="001B5D56" w:rsidRPr="00747E7A" w:rsidRDefault="001B5D56" w:rsidP="00747E7A">
            <w:pPr>
              <w:ind w:firstLine="0"/>
              <w:rPr>
                <w:sz w:val="20"/>
                <w:szCs w:val="20"/>
              </w:rPr>
            </w:pPr>
          </w:p>
        </w:tc>
        <w:tc>
          <w:tcPr>
            <w:tcW w:w="3078" w:type="dxa"/>
            <w:vAlign w:val="center"/>
          </w:tcPr>
          <w:p w14:paraId="755B7BF5" w14:textId="4F8B9DB4" w:rsidR="001B5D56" w:rsidRPr="00747E7A" w:rsidRDefault="001B5D56" w:rsidP="00747E7A">
            <w:pPr>
              <w:ind w:firstLine="0"/>
              <w:rPr>
                <w:sz w:val="20"/>
                <w:szCs w:val="20"/>
              </w:rPr>
            </w:pPr>
            <w:r w:rsidRPr="00747E7A">
              <w:rPr>
                <w:sz w:val="20"/>
                <w:szCs w:val="20"/>
              </w:rPr>
              <w:t>Комплекс мероприятий по развитию отраслей растениеводства рыбохозяйственного комплекса</w:t>
            </w:r>
          </w:p>
        </w:tc>
        <w:tc>
          <w:tcPr>
            <w:tcW w:w="1484" w:type="dxa"/>
          </w:tcPr>
          <w:p w14:paraId="5B484363" w14:textId="77777777" w:rsidR="001B5D56" w:rsidRPr="00747E7A" w:rsidRDefault="001B5D56" w:rsidP="00747E7A">
            <w:pPr>
              <w:ind w:firstLine="0"/>
              <w:rPr>
                <w:sz w:val="20"/>
                <w:szCs w:val="20"/>
              </w:rPr>
            </w:pPr>
            <w:r w:rsidRPr="00747E7A">
              <w:rPr>
                <w:sz w:val="20"/>
                <w:szCs w:val="20"/>
              </w:rPr>
              <w:t>2018-2020</w:t>
            </w:r>
          </w:p>
          <w:p w14:paraId="7E4E249F" w14:textId="77777777" w:rsidR="001B5D56" w:rsidRPr="00747E7A" w:rsidRDefault="001B5D56" w:rsidP="00747E7A">
            <w:pPr>
              <w:ind w:firstLine="0"/>
              <w:rPr>
                <w:sz w:val="20"/>
                <w:szCs w:val="20"/>
              </w:rPr>
            </w:pPr>
            <w:r w:rsidRPr="00747E7A">
              <w:rPr>
                <w:sz w:val="20"/>
                <w:szCs w:val="20"/>
              </w:rPr>
              <w:t>2021-2025</w:t>
            </w:r>
          </w:p>
          <w:p w14:paraId="51AF6C59" w14:textId="16DFEB0A" w:rsidR="001B5D56" w:rsidRPr="00747E7A" w:rsidRDefault="001B5D56" w:rsidP="00747E7A">
            <w:pPr>
              <w:ind w:firstLine="0"/>
              <w:rPr>
                <w:sz w:val="20"/>
                <w:szCs w:val="20"/>
              </w:rPr>
            </w:pPr>
            <w:r w:rsidRPr="00747E7A">
              <w:rPr>
                <w:sz w:val="20"/>
                <w:szCs w:val="20"/>
              </w:rPr>
              <w:t>2026-2030</w:t>
            </w:r>
          </w:p>
        </w:tc>
        <w:tc>
          <w:tcPr>
            <w:tcW w:w="2845" w:type="dxa"/>
            <w:vAlign w:val="center"/>
          </w:tcPr>
          <w:p w14:paraId="51DC8665" w14:textId="5B12553A" w:rsidR="001B5D56" w:rsidRPr="00747E7A" w:rsidRDefault="001B5D56" w:rsidP="00114969">
            <w:pPr>
              <w:ind w:firstLine="0"/>
              <w:jc w:val="left"/>
              <w:rPr>
                <w:sz w:val="20"/>
                <w:szCs w:val="20"/>
              </w:rPr>
            </w:pPr>
            <w:r w:rsidRPr="00747E7A">
              <w:rPr>
                <w:sz w:val="20"/>
                <w:szCs w:val="20"/>
              </w:rPr>
              <w:t>бюджет автономного округа, районный бюджет, внебюджетные средства</w:t>
            </w:r>
          </w:p>
        </w:tc>
        <w:tc>
          <w:tcPr>
            <w:tcW w:w="3577" w:type="dxa"/>
            <w:vMerge/>
          </w:tcPr>
          <w:p w14:paraId="141CB865" w14:textId="77777777" w:rsidR="001B5D56" w:rsidRPr="00747E7A" w:rsidRDefault="001B5D56" w:rsidP="00747E7A">
            <w:pPr>
              <w:ind w:firstLine="0"/>
              <w:rPr>
                <w:sz w:val="20"/>
                <w:szCs w:val="20"/>
              </w:rPr>
            </w:pPr>
          </w:p>
        </w:tc>
      </w:tr>
      <w:tr w:rsidR="001B5D56" w:rsidRPr="00747E7A" w14:paraId="2B769699" w14:textId="77777777" w:rsidTr="008A0C58">
        <w:trPr>
          <w:trHeight w:val="456"/>
        </w:trPr>
        <w:tc>
          <w:tcPr>
            <w:tcW w:w="3642" w:type="dxa"/>
            <w:vMerge/>
          </w:tcPr>
          <w:p w14:paraId="3CAED528" w14:textId="77777777" w:rsidR="001B5D56" w:rsidRPr="00747E7A" w:rsidRDefault="001B5D56" w:rsidP="00747E7A">
            <w:pPr>
              <w:ind w:firstLine="0"/>
              <w:rPr>
                <w:sz w:val="20"/>
                <w:szCs w:val="20"/>
              </w:rPr>
            </w:pPr>
          </w:p>
        </w:tc>
        <w:tc>
          <w:tcPr>
            <w:tcW w:w="3078" w:type="dxa"/>
            <w:vAlign w:val="center"/>
          </w:tcPr>
          <w:p w14:paraId="1A342EE2" w14:textId="0BCE3BF7" w:rsidR="001B5D56" w:rsidRPr="00747E7A" w:rsidRDefault="001B5D56" w:rsidP="00747E7A">
            <w:pPr>
              <w:ind w:firstLine="0"/>
              <w:rPr>
                <w:sz w:val="20"/>
                <w:szCs w:val="20"/>
              </w:rPr>
            </w:pPr>
            <w:r w:rsidRPr="00747E7A">
              <w:rPr>
                <w:sz w:val="20"/>
                <w:szCs w:val="20"/>
              </w:rPr>
              <w:t>Комплекс мероприятий по развитию отраслей растениеводства системы заготовки и переработки дикоросов</w:t>
            </w:r>
          </w:p>
        </w:tc>
        <w:tc>
          <w:tcPr>
            <w:tcW w:w="1484" w:type="dxa"/>
          </w:tcPr>
          <w:p w14:paraId="0258C16A" w14:textId="77777777" w:rsidR="001B5D56" w:rsidRPr="00747E7A" w:rsidRDefault="001B5D56" w:rsidP="00747E7A">
            <w:pPr>
              <w:ind w:firstLine="0"/>
              <w:rPr>
                <w:sz w:val="20"/>
                <w:szCs w:val="20"/>
              </w:rPr>
            </w:pPr>
            <w:r w:rsidRPr="00747E7A">
              <w:rPr>
                <w:sz w:val="20"/>
                <w:szCs w:val="20"/>
              </w:rPr>
              <w:t>2018-2020</w:t>
            </w:r>
          </w:p>
          <w:p w14:paraId="2200ADBE" w14:textId="77777777" w:rsidR="001B5D56" w:rsidRPr="00747E7A" w:rsidRDefault="001B5D56" w:rsidP="00747E7A">
            <w:pPr>
              <w:ind w:firstLine="0"/>
              <w:rPr>
                <w:sz w:val="20"/>
                <w:szCs w:val="20"/>
              </w:rPr>
            </w:pPr>
            <w:r w:rsidRPr="00747E7A">
              <w:rPr>
                <w:sz w:val="20"/>
                <w:szCs w:val="20"/>
              </w:rPr>
              <w:t>2021-2025</w:t>
            </w:r>
          </w:p>
          <w:p w14:paraId="5EF7554A" w14:textId="0F160847" w:rsidR="001B5D56" w:rsidRPr="00747E7A" w:rsidRDefault="001B5D56" w:rsidP="00747E7A">
            <w:pPr>
              <w:ind w:firstLine="0"/>
              <w:rPr>
                <w:sz w:val="20"/>
                <w:szCs w:val="20"/>
              </w:rPr>
            </w:pPr>
            <w:r w:rsidRPr="00747E7A">
              <w:rPr>
                <w:sz w:val="20"/>
                <w:szCs w:val="20"/>
              </w:rPr>
              <w:t>2026-2030</w:t>
            </w:r>
          </w:p>
        </w:tc>
        <w:tc>
          <w:tcPr>
            <w:tcW w:w="2845" w:type="dxa"/>
            <w:vAlign w:val="center"/>
          </w:tcPr>
          <w:p w14:paraId="518FD2C5" w14:textId="1E05A8E2" w:rsidR="001B5D56" w:rsidRPr="00747E7A" w:rsidRDefault="001B5D56" w:rsidP="00114969">
            <w:pPr>
              <w:ind w:firstLine="0"/>
              <w:jc w:val="left"/>
              <w:rPr>
                <w:sz w:val="20"/>
                <w:szCs w:val="20"/>
              </w:rPr>
            </w:pPr>
            <w:r w:rsidRPr="00747E7A">
              <w:rPr>
                <w:sz w:val="20"/>
                <w:szCs w:val="20"/>
              </w:rPr>
              <w:t>бюджет автономного округа, районный бюджет, внебюджетные средства</w:t>
            </w:r>
          </w:p>
        </w:tc>
        <w:tc>
          <w:tcPr>
            <w:tcW w:w="3577" w:type="dxa"/>
            <w:vMerge/>
          </w:tcPr>
          <w:p w14:paraId="1595B612" w14:textId="77777777" w:rsidR="001B5D56" w:rsidRPr="00747E7A" w:rsidRDefault="001B5D56" w:rsidP="00747E7A">
            <w:pPr>
              <w:ind w:firstLine="0"/>
              <w:rPr>
                <w:sz w:val="20"/>
                <w:szCs w:val="20"/>
              </w:rPr>
            </w:pPr>
          </w:p>
        </w:tc>
      </w:tr>
      <w:tr w:rsidR="001B5D56" w:rsidRPr="00747E7A" w14:paraId="2A334F26" w14:textId="77777777" w:rsidTr="008A0C58">
        <w:trPr>
          <w:trHeight w:val="456"/>
        </w:trPr>
        <w:tc>
          <w:tcPr>
            <w:tcW w:w="3642" w:type="dxa"/>
            <w:vMerge/>
          </w:tcPr>
          <w:p w14:paraId="3B23A325" w14:textId="77777777" w:rsidR="001B5D56" w:rsidRPr="00747E7A" w:rsidRDefault="001B5D56" w:rsidP="00747E7A">
            <w:pPr>
              <w:ind w:firstLine="0"/>
              <w:rPr>
                <w:sz w:val="20"/>
                <w:szCs w:val="20"/>
              </w:rPr>
            </w:pPr>
          </w:p>
        </w:tc>
        <w:tc>
          <w:tcPr>
            <w:tcW w:w="3078" w:type="dxa"/>
            <w:vAlign w:val="center"/>
          </w:tcPr>
          <w:p w14:paraId="61369A2E" w14:textId="71A6B24C" w:rsidR="001B5D56" w:rsidRPr="00747E7A" w:rsidRDefault="001B5D56" w:rsidP="00747E7A">
            <w:pPr>
              <w:ind w:firstLine="0"/>
              <w:rPr>
                <w:sz w:val="20"/>
                <w:szCs w:val="20"/>
              </w:rPr>
            </w:pPr>
            <w:r w:rsidRPr="00747E7A">
              <w:rPr>
                <w:sz w:val="20"/>
                <w:szCs w:val="20"/>
              </w:rPr>
              <w:t xml:space="preserve">Комплекс мероприятий по развитию отраслей растениеводства, личных подсобных хозяйств (малых </w:t>
            </w:r>
            <w:r w:rsidRPr="00747E7A">
              <w:rPr>
                <w:sz w:val="20"/>
                <w:szCs w:val="20"/>
              </w:rPr>
              <w:lastRenderedPageBreak/>
              <w:t>форм хозяйствования), крестьянских (фермерских) хозяйств, сельскохозяйственной кооперации</w:t>
            </w:r>
          </w:p>
        </w:tc>
        <w:tc>
          <w:tcPr>
            <w:tcW w:w="1484" w:type="dxa"/>
          </w:tcPr>
          <w:p w14:paraId="0A8147EB" w14:textId="77777777" w:rsidR="001B5D56" w:rsidRPr="00747E7A" w:rsidRDefault="001B5D56" w:rsidP="00747E7A">
            <w:pPr>
              <w:ind w:firstLine="0"/>
              <w:rPr>
                <w:sz w:val="20"/>
                <w:szCs w:val="20"/>
              </w:rPr>
            </w:pPr>
            <w:r w:rsidRPr="00747E7A">
              <w:rPr>
                <w:sz w:val="20"/>
                <w:szCs w:val="20"/>
              </w:rPr>
              <w:lastRenderedPageBreak/>
              <w:t>2018-2020</w:t>
            </w:r>
          </w:p>
          <w:p w14:paraId="1CB0AA3C" w14:textId="77777777" w:rsidR="001B5D56" w:rsidRPr="00747E7A" w:rsidRDefault="001B5D56" w:rsidP="00747E7A">
            <w:pPr>
              <w:ind w:firstLine="0"/>
              <w:rPr>
                <w:sz w:val="20"/>
                <w:szCs w:val="20"/>
              </w:rPr>
            </w:pPr>
            <w:r w:rsidRPr="00747E7A">
              <w:rPr>
                <w:sz w:val="20"/>
                <w:szCs w:val="20"/>
              </w:rPr>
              <w:t>2021-2025</w:t>
            </w:r>
          </w:p>
          <w:p w14:paraId="06C5CB74" w14:textId="407F8B8D" w:rsidR="001B5D56" w:rsidRPr="00747E7A" w:rsidRDefault="001B5D56" w:rsidP="00747E7A">
            <w:pPr>
              <w:ind w:firstLine="0"/>
              <w:rPr>
                <w:sz w:val="20"/>
                <w:szCs w:val="20"/>
              </w:rPr>
            </w:pPr>
            <w:r w:rsidRPr="00747E7A">
              <w:rPr>
                <w:sz w:val="20"/>
                <w:szCs w:val="20"/>
              </w:rPr>
              <w:t>2026-2030</w:t>
            </w:r>
          </w:p>
        </w:tc>
        <w:tc>
          <w:tcPr>
            <w:tcW w:w="2845" w:type="dxa"/>
            <w:vAlign w:val="center"/>
          </w:tcPr>
          <w:p w14:paraId="6D1AD477" w14:textId="7C968E3A" w:rsidR="001B5D56" w:rsidRPr="00747E7A" w:rsidRDefault="001B5D56" w:rsidP="00114969">
            <w:pPr>
              <w:ind w:firstLine="0"/>
              <w:jc w:val="left"/>
              <w:rPr>
                <w:sz w:val="20"/>
                <w:szCs w:val="20"/>
              </w:rPr>
            </w:pPr>
            <w:r w:rsidRPr="00747E7A">
              <w:rPr>
                <w:sz w:val="20"/>
                <w:szCs w:val="20"/>
              </w:rPr>
              <w:t>бюджет автономного округа, районный бюджет, внебюджетные средства</w:t>
            </w:r>
          </w:p>
        </w:tc>
        <w:tc>
          <w:tcPr>
            <w:tcW w:w="3577" w:type="dxa"/>
            <w:vMerge/>
          </w:tcPr>
          <w:p w14:paraId="3955C354" w14:textId="77777777" w:rsidR="001B5D56" w:rsidRPr="00747E7A" w:rsidRDefault="001B5D56" w:rsidP="00747E7A">
            <w:pPr>
              <w:ind w:firstLine="0"/>
              <w:rPr>
                <w:sz w:val="20"/>
                <w:szCs w:val="20"/>
              </w:rPr>
            </w:pPr>
          </w:p>
        </w:tc>
      </w:tr>
      <w:tr w:rsidR="001B5D56" w:rsidRPr="00747E7A" w14:paraId="4C08FD3D" w14:textId="77777777" w:rsidTr="008A0C58">
        <w:trPr>
          <w:trHeight w:val="456"/>
        </w:trPr>
        <w:tc>
          <w:tcPr>
            <w:tcW w:w="3642" w:type="dxa"/>
            <w:vMerge/>
          </w:tcPr>
          <w:p w14:paraId="0B840033" w14:textId="77777777" w:rsidR="001B5D56" w:rsidRPr="00747E7A" w:rsidRDefault="001B5D56" w:rsidP="00747E7A">
            <w:pPr>
              <w:ind w:firstLine="0"/>
              <w:rPr>
                <w:sz w:val="20"/>
                <w:szCs w:val="20"/>
              </w:rPr>
            </w:pPr>
          </w:p>
        </w:tc>
        <w:tc>
          <w:tcPr>
            <w:tcW w:w="3078" w:type="dxa"/>
            <w:vAlign w:val="center"/>
          </w:tcPr>
          <w:p w14:paraId="62085CDF" w14:textId="36DB40D4" w:rsidR="001B5D56" w:rsidRPr="00747E7A" w:rsidRDefault="001B5D56" w:rsidP="00747E7A">
            <w:pPr>
              <w:ind w:firstLine="0"/>
              <w:rPr>
                <w:sz w:val="20"/>
                <w:szCs w:val="20"/>
              </w:rPr>
            </w:pPr>
            <w:r w:rsidRPr="00747E7A">
              <w:rPr>
                <w:sz w:val="20"/>
                <w:szCs w:val="20"/>
              </w:rPr>
              <w:t>Оказание содействия сельскохозяйственным предприятиям и крестьянским (фермерским) хозяйствам в модернизации производства, обновлении оборудования и приобретении племенного скота, внедрения новых технологий</w:t>
            </w:r>
          </w:p>
        </w:tc>
        <w:tc>
          <w:tcPr>
            <w:tcW w:w="1484" w:type="dxa"/>
          </w:tcPr>
          <w:p w14:paraId="5CBD593F" w14:textId="77777777" w:rsidR="001B5D56" w:rsidRPr="00747E7A" w:rsidRDefault="001B5D56" w:rsidP="00747E7A">
            <w:pPr>
              <w:ind w:firstLine="0"/>
              <w:rPr>
                <w:sz w:val="20"/>
                <w:szCs w:val="20"/>
              </w:rPr>
            </w:pPr>
            <w:r w:rsidRPr="00747E7A">
              <w:rPr>
                <w:sz w:val="20"/>
                <w:szCs w:val="20"/>
              </w:rPr>
              <w:t>2018-2020</w:t>
            </w:r>
          </w:p>
          <w:p w14:paraId="67159FB9" w14:textId="77777777" w:rsidR="001B5D56" w:rsidRPr="00747E7A" w:rsidRDefault="001B5D56" w:rsidP="00747E7A">
            <w:pPr>
              <w:ind w:firstLine="0"/>
              <w:rPr>
                <w:sz w:val="20"/>
                <w:szCs w:val="20"/>
              </w:rPr>
            </w:pPr>
            <w:r w:rsidRPr="00747E7A">
              <w:rPr>
                <w:sz w:val="20"/>
                <w:szCs w:val="20"/>
              </w:rPr>
              <w:t>2021-2025</w:t>
            </w:r>
          </w:p>
          <w:p w14:paraId="75DFC7A0" w14:textId="439D743E" w:rsidR="001B5D56" w:rsidRPr="00747E7A" w:rsidRDefault="001B5D56" w:rsidP="00747E7A">
            <w:pPr>
              <w:ind w:firstLine="0"/>
              <w:rPr>
                <w:sz w:val="20"/>
                <w:szCs w:val="20"/>
              </w:rPr>
            </w:pPr>
            <w:r w:rsidRPr="00747E7A">
              <w:rPr>
                <w:sz w:val="20"/>
                <w:szCs w:val="20"/>
              </w:rPr>
              <w:t>2026-2030</w:t>
            </w:r>
          </w:p>
        </w:tc>
        <w:tc>
          <w:tcPr>
            <w:tcW w:w="2845" w:type="dxa"/>
            <w:vAlign w:val="center"/>
          </w:tcPr>
          <w:p w14:paraId="24FA458E" w14:textId="1452E54D" w:rsidR="001B5D56" w:rsidRPr="00747E7A" w:rsidRDefault="001B5D56" w:rsidP="00114969">
            <w:pPr>
              <w:ind w:firstLine="0"/>
              <w:jc w:val="left"/>
              <w:rPr>
                <w:sz w:val="20"/>
                <w:szCs w:val="20"/>
              </w:rPr>
            </w:pPr>
            <w:r w:rsidRPr="00747E7A">
              <w:rPr>
                <w:sz w:val="20"/>
                <w:szCs w:val="20"/>
              </w:rPr>
              <w:t>бюджет автономного округа, районный бюджет, внебюджетные средства</w:t>
            </w:r>
          </w:p>
        </w:tc>
        <w:tc>
          <w:tcPr>
            <w:tcW w:w="3577" w:type="dxa"/>
            <w:vMerge/>
          </w:tcPr>
          <w:p w14:paraId="304B18F3" w14:textId="77777777" w:rsidR="001B5D56" w:rsidRPr="00747E7A" w:rsidRDefault="001B5D56" w:rsidP="00747E7A">
            <w:pPr>
              <w:ind w:firstLine="0"/>
              <w:rPr>
                <w:sz w:val="20"/>
                <w:szCs w:val="20"/>
              </w:rPr>
            </w:pPr>
          </w:p>
        </w:tc>
      </w:tr>
      <w:tr w:rsidR="001B5D56" w:rsidRPr="00747E7A" w14:paraId="4CDF71A6" w14:textId="77777777" w:rsidTr="008A0C58">
        <w:trPr>
          <w:trHeight w:val="456"/>
        </w:trPr>
        <w:tc>
          <w:tcPr>
            <w:tcW w:w="3642" w:type="dxa"/>
            <w:vMerge/>
          </w:tcPr>
          <w:p w14:paraId="7F59497D" w14:textId="77777777" w:rsidR="001B5D56" w:rsidRPr="00747E7A" w:rsidRDefault="001B5D56" w:rsidP="00747E7A">
            <w:pPr>
              <w:ind w:firstLine="0"/>
              <w:rPr>
                <w:sz w:val="20"/>
                <w:szCs w:val="20"/>
              </w:rPr>
            </w:pPr>
          </w:p>
        </w:tc>
        <w:tc>
          <w:tcPr>
            <w:tcW w:w="3078" w:type="dxa"/>
            <w:vAlign w:val="center"/>
          </w:tcPr>
          <w:p w14:paraId="1F653FB7" w14:textId="4B337E1C" w:rsidR="001B5D56" w:rsidRPr="00747E7A" w:rsidRDefault="001B5D56" w:rsidP="00747E7A">
            <w:pPr>
              <w:ind w:firstLine="0"/>
              <w:rPr>
                <w:sz w:val="20"/>
                <w:szCs w:val="20"/>
              </w:rPr>
            </w:pPr>
            <w:r w:rsidRPr="00747E7A">
              <w:rPr>
                <w:sz w:val="20"/>
                <w:szCs w:val="20"/>
              </w:rPr>
              <w:t>Оказание содействия сельскохозяйственным предприятиям и крестьянским (фермерским) хозяйствам в модернизации производства, внедрения новых технологий переработки сельскохозяйственной продукции</w:t>
            </w:r>
          </w:p>
        </w:tc>
        <w:tc>
          <w:tcPr>
            <w:tcW w:w="1484" w:type="dxa"/>
          </w:tcPr>
          <w:p w14:paraId="65DF3764" w14:textId="77777777" w:rsidR="001B5D56" w:rsidRPr="00747E7A" w:rsidRDefault="001B5D56" w:rsidP="00747E7A">
            <w:pPr>
              <w:ind w:firstLine="0"/>
              <w:rPr>
                <w:sz w:val="20"/>
                <w:szCs w:val="20"/>
              </w:rPr>
            </w:pPr>
            <w:r w:rsidRPr="00747E7A">
              <w:rPr>
                <w:sz w:val="20"/>
                <w:szCs w:val="20"/>
              </w:rPr>
              <w:t>2018-2020</w:t>
            </w:r>
          </w:p>
          <w:p w14:paraId="3F5CD37E" w14:textId="77777777" w:rsidR="001B5D56" w:rsidRPr="00747E7A" w:rsidRDefault="001B5D56" w:rsidP="00747E7A">
            <w:pPr>
              <w:ind w:firstLine="0"/>
              <w:rPr>
                <w:sz w:val="20"/>
                <w:szCs w:val="20"/>
              </w:rPr>
            </w:pPr>
            <w:r w:rsidRPr="00747E7A">
              <w:rPr>
                <w:sz w:val="20"/>
                <w:szCs w:val="20"/>
              </w:rPr>
              <w:t>2021-2025</w:t>
            </w:r>
          </w:p>
          <w:p w14:paraId="0A4A1A56" w14:textId="672A4C48" w:rsidR="001B5D56" w:rsidRPr="00747E7A" w:rsidRDefault="001B5D56" w:rsidP="00747E7A">
            <w:pPr>
              <w:ind w:firstLine="0"/>
              <w:rPr>
                <w:sz w:val="20"/>
                <w:szCs w:val="20"/>
              </w:rPr>
            </w:pPr>
            <w:r w:rsidRPr="00747E7A">
              <w:rPr>
                <w:sz w:val="20"/>
                <w:szCs w:val="20"/>
              </w:rPr>
              <w:t>2026-2030</w:t>
            </w:r>
          </w:p>
        </w:tc>
        <w:tc>
          <w:tcPr>
            <w:tcW w:w="2845" w:type="dxa"/>
            <w:vAlign w:val="center"/>
          </w:tcPr>
          <w:p w14:paraId="57E11A53" w14:textId="1179C86C" w:rsidR="001B5D56" w:rsidRPr="00747E7A" w:rsidRDefault="001B5D56" w:rsidP="00114969">
            <w:pPr>
              <w:ind w:firstLine="0"/>
              <w:jc w:val="left"/>
              <w:rPr>
                <w:sz w:val="20"/>
                <w:szCs w:val="20"/>
              </w:rPr>
            </w:pPr>
            <w:r w:rsidRPr="00747E7A">
              <w:rPr>
                <w:sz w:val="20"/>
                <w:szCs w:val="20"/>
              </w:rPr>
              <w:t>бюджет автономного округа, районный бюджет, внебюджетные средства</w:t>
            </w:r>
          </w:p>
        </w:tc>
        <w:tc>
          <w:tcPr>
            <w:tcW w:w="3577" w:type="dxa"/>
            <w:vMerge/>
          </w:tcPr>
          <w:p w14:paraId="71BBCE1F" w14:textId="77777777" w:rsidR="001B5D56" w:rsidRPr="00747E7A" w:rsidRDefault="001B5D56" w:rsidP="00747E7A">
            <w:pPr>
              <w:ind w:firstLine="0"/>
              <w:rPr>
                <w:sz w:val="20"/>
                <w:szCs w:val="20"/>
              </w:rPr>
            </w:pPr>
          </w:p>
        </w:tc>
      </w:tr>
      <w:tr w:rsidR="001B5D56" w:rsidRPr="00747E7A" w14:paraId="1044588E" w14:textId="77777777" w:rsidTr="00FA0783">
        <w:trPr>
          <w:trHeight w:val="456"/>
        </w:trPr>
        <w:tc>
          <w:tcPr>
            <w:tcW w:w="3642" w:type="dxa"/>
            <w:vMerge w:val="restart"/>
            <w:vAlign w:val="center"/>
          </w:tcPr>
          <w:p w14:paraId="1D6FD692" w14:textId="331F3A3C" w:rsidR="001B5D56" w:rsidRPr="00747E7A" w:rsidRDefault="001B5D56" w:rsidP="00747E7A">
            <w:pPr>
              <w:ind w:firstLine="0"/>
              <w:rPr>
                <w:sz w:val="20"/>
                <w:szCs w:val="20"/>
              </w:rPr>
            </w:pPr>
            <w:r w:rsidRPr="00747E7A">
              <w:rPr>
                <w:sz w:val="20"/>
                <w:szCs w:val="20"/>
              </w:rPr>
              <w:t>Направление «Развитие потребительского рынка и сферы услуг»</w:t>
            </w:r>
          </w:p>
        </w:tc>
        <w:tc>
          <w:tcPr>
            <w:tcW w:w="3078" w:type="dxa"/>
            <w:vAlign w:val="center"/>
          </w:tcPr>
          <w:p w14:paraId="66876EFC" w14:textId="4B18EEDA" w:rsidR="001B5D56" w:rsidRPr="00747E7A" w:rsidRDefault="001B5D56" w:rsidP="00747E7A">
            <w:pPr>
              <w:ind w:firstLine="0"/>
              <w:rPr>
                <w:sz w:val="20"/>
                <w:szCs w:val="20"/>
              </w:rPr>
            </w:pPr>
            <w:r w:rsidRPr="00747E7A">
              <w:rPr>
                <w:sz w:val="20"/>
                <w:szCs w:val="20"/>
              </w:rPr>
              <w:t>Комплекс мероприятий по развитию предприятий розничной торговли (супермаркетов, магазинов «шаговой доступности») и предприятий в сфере платных бытовых услуг</w:t>
            </w:r>
          </w:p>
        </w:tc>
        <w:tc>
          <w:tcPr>
            <w:tcW w:w="1484" w:type="dxa"/>
          </w:tcPr>
          <w:p w14:paraId="174D6A70" w14:textId="77777777" w:rsidR="001B5D56" w:rsidRPr="00747E7A" w:rsidRDefault="001B5D56" w:rsidP="00747E7A">
            <w:pPr>
              <w:ind w:firstLine="0"/>
              <w:rPr>
                <w:sz w:val="20"/>
                <w:szCs w:val="20"/>
              </w:rPr>
            </w:pPr>
            <w:r w:rsidRPr="00747E7A">
              <w:rPr>
                <w:sz w:val="20"/>
                <w:szCs w:val="20"/>
              </w:rPr>
              <w:t>2018-2020</w:t>
            </w:r>
          </w:p>
          <w:p w14:paraId="0FF9104D" w14:textId="77777777" w:rsidR="001B5D56" w:rsidRPr="00747E7A" w:rsidRDefault="001B5D56" w:rsidP="00747E7A">
            <w:pPr>
              <w:ind w:firstLine="0"/>
              <w:rPr>
                <w:sz w:val="20"/>
                <w:szCs w:val="20"/>
              </w:rPr>
            </w:pPr>
            <w:r w:rsidRPr="00747E7A">
              <w:rPr>
                <w:sz w:val="20"/>
                <w:szCs w:val="20"/>
              </w:rPr>
              <w:t>2021-2025</w:t>
            </w:r>
          </w:p>
          <w:p w14:paraId="74B9B27A" w14:textId="60F303A2" w:rsidR="001B5D56" w:rsidRPr="00747E7A" w:rsidRDefault="001B5D56" w:rsidP="00747E7A">
            <w:pPr>
              <w:ind w:firstLine="0"/>
              <w:rPr>
                <w:sz w:val="20"/>
                <w:szCs w:val="20"/>
              </w:rPr>
            </w:pPr>
            <w:r w:rsidRPr="00747E7A">
              <w:rPr>
                <w:sz w:val="20"/>
                <w:szCs w:val="20"/>
              </w:rPr>
              <w:t>2026-2030</w:t>
            </w:r>
          </w:p>
        </w:tc>
        <w:tc>
          <w:tcPr>
            <w:tcW w:w="2845" w:type="dxa"/>
            <w:vAlign w:val="center"/>
          </w:tcPr>
          <w:p w14:paraId="1300F8F8" w14:textId="03ABDC03" w:rsidR="001B5D56" w:rsidRPr="00747E7A" w:rsidRDefault="001B5D56" w:rsidP="00114969">
            <w:pPr>
              <w:ind w:firstLine="0"/>
              <w:jc w:val="left"/>
              <w:rPr>
                <w:sz w:val="20"/>
                <w:szCs w:val="20"/>
              </w:rPr>
            </w:pPr>
            <w:r w:rsidRPr="00747E7A">
              <w:rPr>
                <w:sz w:val="20"/>
                <w:szCs w:val="20"/>
              </w:rPr>
              <w:t>районный бюджет, внебюджетные источники</w:t>
            </w:r>
          </w:p>
        </w:tc>
        <w:tc>
          <w:tcPr>
            <w:tcW w:w="3577" w:type="dxa"/>
            <w:vMerge w:val="restart"/>
          </w:tcPr>
          <w:p w14:paraId="1B60CB61" w14:textId="77777777" w:rsidR="001B5D56" w:rsidRPr="00747E7A" w:rsidRDefault="001B5D56" w:rsidP="00747E7A">
            <w:pPr>
              <w:ind w:firstLine="0"/>
              <w:rPr>
                <w:sz w:val="20"/>
                <w:szCs w:val="20"/>
              </w:rPr>
            </w:pPr>
            <w:r w:rsidRPr="00747E7A">
              <w:rPr>
                <w:sz w:val="20"/>
                <w:szCs w:val="20"/>
              </w:rPr>
              <w:t>Комитет по экономической политике и предпринимательству Администрации Нефтеюганского района, МКУ «Управление по делам администрации Нефтеюганского района»</w:t>
            </w:r>
          </w:p>
          <w:p w14:paraId="6B66FDF6" w14:textId="77777777" w:rsidR="001B5D56" w:rsidRPr="00747E7A" w:rsidRDefault="001B5D56" w:rsidP="00747E7A">
            <w:pPr>
              <w:ind w:firstLine="0"/>
              <w:rPr>
                <w:sz w:val="20"/>
                <w:szCs w:val="20"/>
              </w:rPr>
            </w:pPr>
            <w:r w:rsidRPr="00747E7A">
              <w:rPr>
                <w:sz w:val="20"/>
                <w:szCs w:val="20"/>
              </w:rPr>
              <w:br/>
              <w:t xml:space="preserve">                                              </w:t>
            </w:r>
          </w:p>
          <w:p w14:paraId="275C054E" w14:textId="77F840E6" w:rsidR="001B5D56" w:rsidRPr="00747E7A" w:rsidRDefault="001B5D56" w:rsidP="008A0C58">
            <w:pPr>
              <w:rPr>
                <w:sz w:val="20"/>
                <w:szCs w:val="20"/>
              </w:rPr>
            </w:pPr>
          </w:p>
        </w:tc>
      </w:tr>
      <w:tr w:rsidR="001B5D56" w:rsidRPr="00747E7A" w14:paraId="46B4877B" w14:textId="77777777" w:rsidTr="00FA0783">
        <w:trPr>
          <w:trHeight w:val="456"/>
        </w:trPr>
        <w:tc>
          <w:tcPr>
            <w:tcW w:w="3642" w:type="dxa"/>
            <w:vMerge/>
            <w:vAlign w:val="center"/>
          </w:tcPr>
          <w:p w14:paraId="1E426FB3" w14:textId="11668E0D" w:rsidR="001B5D56" w:rsidRPr="00747E7A" w:rsidRDefault="001B5D56" w:rsidP="00747E7A">
            <w:pPr>
              <w:ind w:firstLine="0"/>
              <w:rPr>
                <w:sz w:val="20"/>
                <w:szCs w:val="20"/>
              </w:rPr>
            </w:pPr>
          </w:p>
        </w:tc>
        <w:tc>
          <w:tcPr>
            <w:tcW w:w="3078" w:type="dxa"/>
            <w:vAlign w:val="center"/>
          </w:tcPr>
          <w:p w14:paraId="75C3DB73" w14:textId="62BE372E" w:rsidR="001B5D56" w:rsidRPr="00747E7A" w:rsidRDefault="001B5D56" w:rsidP="00747E7A">
            <w:pPr>
              <w:ind w:firstLine="0"/>
              <w:rPr>
                <w:sz w:val="20"/>
                <w:szCs w:val="20"/>
              </w:rPr>
            </w:pPr>
            <w:r w:rsidRPr="00747E7A">
              <w:rPr>
                <w:sz w:val="20"/>
                <w:szCs w:val="20"/>
              </w:rPr>
              <w:t>Комплекс мероприятий по созданию условий для удовлетворения спроса населения на товары розничной торговлей, платные услуги населению</w:t>
            </w:r>
          </w:p>
        </w:tc>
        <w:tc>
          <w:tcPr>
            <w:tcW w:w="1484" w:type="dxa"/>
          </w:tcPr>
          <w:p w14:paraId="3E314076" w14:textId="77777777" w:rsidR="001B5D56" w:rsidRPr="00747E7A" w:rsidRDefault="001B5D56" w:rsidP="00747E7A">
            <w:pPr>
              <w:ind w:firstLine="0"/>
              <w:rPr>
                <w:sz w:val="20"/>
                <w:szCs w:val="20"/>
              </w:rPr>
            </w:pPr>
            <w:r w:rsidRPr="00747E7A">
              <w:rPr>
                <w:sz w:val="20"/>
                <w:szCs w:val="20"/>
              </w:rPr>
              <w:t>2018-2020</w:t>
            </w:r>
          </w:p>
          <w:p w14:paraId="0282BAB3" w14:textId="77777777" w:rsidR="001B5D56" w:rsidRPr="00747E7A" w:rsidRDefault="001B5D56" w:rsidP="00747E7A">
            <w:pPr>
              <w:ind w:firstLine="0"/>
              <w:rPr>
                <w:sz w:val="20"/>
                <w:szCs w:val="20"/>
              </w:rPr>
            </w:pPr>
            <w:r w:rsidRPr="00747E7A">
              <w:rPr>
                <w:sz w:val="20"/>
                <w:szCs w:val="20"/>
              </w:rPr>
              <w:t>2021-2025</w:t>
            </w:r>
          </w:p>
          <w:p w14:paraId="75C6B82B" w14:textId="6C41119B" w:rsidR="001B5D56" w:rsidRPr="00747E7A" w:rsidRDefault="001B5D56" w:rsidP="00747E7A">
            <w:pPr>
              <w:ind w:firstLine="0"/>
              <w:rPr>
                <w:sz w:val="20"/>
                <w:szCs w:val="20"/>
              </w:rPr>
            </w:pPr>
            <w:r w:rsidRPr="00747E7A">
              <w:rPr>
                <w:sz w:val="20"/>
                <w:szCs w:val="20"/>
              </w:rPr>
              <w:t>2026-2030</w:t>
            </w:r>
          </w:p>
        </w:tc>
        <w:tc>
          <w:tcPr>
            <w:tcW w:w="2845" w:type="dxa"/>
            <w:vAlign w:val="center"/>
          </w:tcPr>
          <w:p w14:paraId="63945150" w14:textId="5E249009" w:rsidR="001B5D56" w:rsidRPr="00747E7A" w:rsidRDefault="001B5D56" w:rsidP="00114969">
            <w:pPr>
              <w:ind w:firstLine="0"/>
              <w:jc w:val="left"/>
              <w:rPr>
                <w:sz w:val="20"/>
                <w:szCs w:val="20"/>
              </w:rPr>
            </w:pPr>
            <w:r w:rsidRPr="00747E7A">
              <w:rPr>
                <w:sz w:val="20"/>
                <w:szCs w:val="20"/>
              </w:rPr>
              <w:t>районный бюджет, внебюджетные источники</w:t>
            </w:r>
          </w:p>
        </w:tc>
        <w:tc>
          <w:tcPr>
            <w:tcW w:w="3577" w:type="dxa"/>
            <w:vMerge/>
          </w:tcPr>
          <w:p w14:paraId="4C006877" w14:textId="77777777" w:rsidR="001B5D56" w:rsidRPr="00747E7A" w:rsidRDefault="001B5D56" w:rsidP="00747E7A">
            <w:pPr>
              <w:ind w:firstLine="0"/>
              <w:rPr>
                <w:sz w:val="20"/>
                <w:szCs w:val="20"/>
              </w:rPr>
            </w:pPr>
          </w:p>
        </w:tc>
      </w:tr>
      <w:tr w:rsidR="001B5D56" w:rsidRPr="00747E7A" w14:paraId="4C858C1D" w14:textId="77777777" w:rsidTr="00FA0783">
        <w:trPr>
          <w:trHeight w:val="456"/>
        </w:trPr>
        <w:tc>
          <w:tcPr>
            <w:tcW w:w="3642" w:type="dxa"/>
            <w:vMerge/>
            <w:vAlign w:val="center"/>
          </w:tcPr>
          <w:p w14:paraId="4F96BB09" w14:textId="3547752A" w:rsidR="001B5D56" w:rsidRPr="00747E7A" w:rsidRDefault="001B5D56" w:rsidP="00747E7A">
            <w:pPr>
              <w:ind w:firstLine="0"/>
              <w:rPr>
                <w:sz w:val="20"/>
                <w:szCs w:val="20"/>
              </w:rPr>
            </w:pPr>
          </w:p>
        </w:tc>
        <w:tc>
          <w:tcPr>
            <w:tcW w:w="3078" w:type="dxa"/>
            <w:vAlign w:val="center"/>
          </w:tcPr>
          <w:p w14:paraId="64922029" w14:textId="0F7739B7" w:rsidR="001B5D56" w:rsidRPr="00747E7A" w:rsidRDefault="001B5D56" w:rsidP="00747E7A">
            <w:pPr>
              <w:ind w:firstLine="0"/>
              <w:rPr>
                <w:sz w:val="20"/>
                <w:szCs w:val="20"/>
              </w:rPr>
            </w:pPr>
            <w:r w:rsidRPr="00747E7A">
              <w:rPr>
                <w:sz w:val="20"/>
                <w:szCs w:val="20"/>
              </w:rPr>
              <w:t xml:space="preserve">Комплекс мероприятий по проведению ярмарок на территории Нефтеюганского </w:t>
            </w:r>
            <w:r w:rsidRPr="00747E7A">
              <w:rPr>
                <w:sz w:val="20"/>
                <w:szCs w:val="20"/>
              </w:rPr>
              <w:lastRenderedPageBreak/>
              <w:t>района с участием местных сельхоз- и товаропроизводителей</w:t>
            </w:r>
          </w:p>
        </w:tc>
        <w:tc>
          <w:tcPr>
            <w:tcW w:w="1484" w:type="dxa"/>
          </w:tcPr>
          <w:p w14:paraId="1056E799" w14:textId="77777777" w:rsidR="001B5D56" w:rsidRPr="00747E7A" w:rsidRDefault="001B5D56" w:rsidP="00747E7A">
            <w:pPr>
              <w:ind w:firstLine="0"/>
              <w:rPr>
                <w:sz w:val="20"/>
                <w:szCs w:val="20"/>
              </w:rPr>
            </w:pPr>
            <w:r w:rsidRPr="00747E7A">
              <w:rPr>
                <w:sz w:val="20"/>
                <w:szCs w:val="20"/>
              </w:rPr>
              <w:lastRenderedPageBreak/>
              <w:t>2018-2020</w:t>
            </w:r>
          </w:p>
          <w:p w14:paraId="70FF8A2F" w14:textId="77777777" w:rsidR="001B5D56" w:rsidRPr="00747E7A" w:rsidRDefault="001B5D56" w:rsidP="00747E7A">
            <w:pPr>
              <w:ind w:firstLine="0"/>
              <w:rPr>
                <w:sz w:val="20"/>
                <w:szCs w:val="20"/>
              </w:rPr>
            </w:pPr>
            <w:r w:rsidRPr="00747E7A">
              <w:rPr>
                <w:sz w:val="20"/>
                <w:szCs w:val="20"/>
              </w:rPr>
              <w:t>2021-2025</w:t>
            </w:r>
          </w:p>
          <w:p w14:paraId="54E8A135" w14:textId="1665105B" w:rsidR="001B5D56" w:rsidRPr="00747E7A" w:rsidRDefault="001B5D56" w:rsidP="00747E7A">
            <w:pPr>
              <w:ind w:firstLine="0"/>
              <w:rPr>
                <w:sz w:val="20"/>
                <w:szCs w:val="20"/>
              </w:rPr>
            </w:pPr>
            <w:r w:rsidRPr="00747E7A">
              <w:rPr>
                <w:sz w:val="20"/>
                <w:szCs w:val="20"/>
              </w:rPr>
              <w:t>2026-2030</w:t>
            </w:r>
          </w:p>
        </w:tc>
        <w:tc>
          <w:tcPr>
            <w:tcW w:w="2845" w:type="dxa"/>
            <w:vAlign w:val="center"/>
          </w:tcPr>
          <w:p w14:paraId="7B7D3FB3" w14:textId="7D5D70BB" w:rsidR="001B5D56" w:rsidRPr="00747E7A" w:rsidRDefault="001B5D56" w:rsidP="00114969">
            <w:pPr>
              <w:ind w:firstLine="0"/>
              <w:jc w:val="left"/>
              <w:rPr>
                <w:sz w:val="20"/>
                <w:szCs w:val="20"/>
              </w:rPr>
            </w:pPr>
            <w:r w:rsidRPr="00747E7A">
              <w:rPr>
                <w:sz w:val="20"/>
                <w:szCs w:val="20"/>
              </w:rPr>
              <w:t>районный бюджет, внебюджетные источники</w:t>
            </w:r>
          </w:p>
        </w:tc>
        <w:tc>
          <w:tcPr>
            <w:tcW w:w="3577" w:type="dxa"/>
            <w:vMerge/>
          </w:tcPr>
          <w:p w14:paraId="0F01A0E1" w14:textId="77777777" w:rsidR="001B5D56" w:rsidRPr="00747E7A" w:rsidRDefault="001B5D56" w:rsidP="00747E7A">
            <w:pPr>
              <w:ind w:firstLine="0"/>
              <w:rPr>
                <w:sz w:val="20"/>
                <w:szCs w:val="20"/>
              </w:rPr>
            </w:pPr>
          </w:p>
        </w:tc>
      </w:tr>
      <w:tr w:rsidR="001B5D56" w:rsidRPr="00747E7A" w14:paraId="57CA542B" w14:textId="77777777" w:rsidTr="00FA0783">
        <w:trPr>
          <w:trHeight w:val="237"/>
        </w:trPr>
        <w:tc>
          <w:tcPr>
            <w:tcW w:w="3642" w:type="dxa"/>
            <w:vMerge/>
            <w:vAlign w:val="center"/>
          </w:tcPr>
          <w:p w14:paraId="7105A577" w14:textId="0064C789" w:rsidR="001B5D56" w:rsidRPr="00747E7A" w:rsidRDefault="001B5D56" w:rsidP="00747E7A">
            <w:pPr>
              <w:ind w:firstLine="0"/>
              <w:rPr>
                <w:sz w:val="20"/>
                <w:szCs w:val="20"/>
              </w:rPr>
            </w:pPr>
          </w:p>
        </w:tc>
        <w:tc>
          <w:tcPr>
            <w:tcW w:w="3078" w:type="dxa"/>
            <w:vAlign w:val="center"/>
          </w:tcPr>
          <w:p w14:paraId="00A9B654" w14:textId="586A484E" w:rsidR="001B5D56" w:rsidRPr="00747E7A" w:rsidRDefault="001B5D56" w:rsidP="00747E7A">
            <w:pPr>
              <w:ind w:firstLine="0"/>
              <w:rPr>
                <w:sz w:val="20"/>
                <w:szCs w:val="20"/>
              </w:rPr>
            </w:pPr>
            <w:r w:rsidRPr="00747E7A">
              <w:rPr>
                <w:sz w:val="20"/>
                <w:szCs w:val="20"/>
              </w:rPr>
              <w:t>Комплекс мероприятий по созданию условий для развития въездного туризма, индустрии гостеприимства</w:t>
            </w:r>
          </w:p>
        </w:tc>
        <w:tc>
          <w:tcPr>
            <w:tcW w:w="1484" w:type="dxa"/>
          </w:tcPr>
          <w:p w14:paraId="1D2A228E" w14:textId="77777777" w:rsidR="001B5D56" w:rsidRPr="00747E7A" w:rsidRDefault="001B5D56" w:rsidP="00747E7A">
            <w:pPr>
              <w:ind w:firstLine="0"/>
              <w:rPr>
                <w:sz w:val="20"/>
                <w:szCs w:val="20"/>
              </w:rPr>
            </w:pPr>
            <w:r w:rsidRPr="00747E7A">
              <w:rPr>
                <w:sz w:val="20"/>
                <w:szCs w:val="20"/>
              </w:rPr>
              <w:t>2018-2020</w:t>
            </w:r>
          </w:p>
          <w:p w14:paraId="747C5702" w14:textId="77777777" w:rsidR="001B5D56" w:rsidRPr="00747E7A" w:rsidRDefault="001B5D56" w:rsidP="00747E7A">
            <w:pPr>
              <w:ind w:firstLine="0"/>
              <w:rPr>
                <w:sz w:val="20"/>
                <w:szCs w:val="20"/>
              </w:rPr>
            </w:pPr>
            <w:r w:rsidRPr="00747E7A">
              <w:rPr>
                <w:sz w:val="20"/>
                <w:szCs w:val="20"/>
              </w:rPr>
              <w:t>2021-2025</w:t>
            </w:r>
          </w:p>
          <w:p w14:paraId="09C45DCE" w14:textId="6122D51F" w:rsidR="001B5D56" w:rsidRPr="00747E7A" w:rsidRDefault="001B5D56" w:rsidP="00747E7A">
            <w:pPr>
              <w:ind w:firstLine="0"/>
              <w:rPr>
                <w:sz w:val="20"/>
                <w:szCs w:val="20"/>
              </w:rPr>
            </w:pPr>
            <w:r w:rsidRPr="00747E7A">
              <w:rPr>
                <w:sz w:val="20"/>
                <w:szCs w:val="20"/>
              </w:rPr>
              <w:t>2026-2030</w:t>
            </w:r>
          </w:p>
        </w:tc>
        <w:tc>
          <w:tcPr>
            <w:tcW w:w="2845" w:type="dxa"/>
            <w:vAlign w:val="center"/>
          </w:tcPr>
          <w:p w14:paraId="4D4F5E89" w14:textId="096034AC" w:rsidR="001B5D56" w:rsidRPr="00747E7A" w:rsidRDefault="001B5D56" w:rsidP="00114969">
            <w:pPr>
              <w:ind w:firstLine="0"/>
              <w:jc w:val="left"/>
              <w:rPr>
                <w:sz w:val="20"/>
                <w:szCs w:val="20"/>
              </w:rPr>
            </w:pPr>
            <w:r w:rsidRPr="00747E7A">
              <w:rPr>
                <w:sz w:val="20"/>
                <w:szCs w:val="20"/>
              </w:rPr>
              <w:t>районный бюджет, внебюджетные источники</w:t>
            </w:r>
          </w:p>
        </w:tc>
        <w:tc>
          <w:tcPr>
            <w:tcW w:w="3577" w:type="dxa"/>
            <w:vMerge/>
          </w:tcPr>
          <w:p w14:paraId="78EA83AC" w14:textId="77777777" w:rsidR="001B5D56" w:rsidRPr="00747E7A" w:rsidRDefault="001B5D56" w:rsidP="00747E7A">
            <w:pPr>
              <w:ind w:firstLine="0"/>
              <w:rPr>
                <w:sz w:val="20"/>
                <w:szCs w:val="20"/>
              </w:rPr>
            </w:pPr>
          </w:p>
        </w:tc>
      </w:tr>
      <w:tr w:rsidR="006F14BE" w:rsidRPr="00747E7A" w14:paraId="07D9DAE5" w14:textId="77777777" w:rsidTr="00222907">
        <w:trPr>
          <w:trHeight w:val="415"/>
        </w:trPr>
        <w:tc>
          <w:tcPr>
            <w:tcW w:w="14626" w:type="dxa"/>
            <w:gridSpan w:val="5"/>
            <w:vAlign w:val="center"/>
          </w:tcPr>
          <w:p w14:paraId="3366BFD3" w14:textId="26DAD829" w:rsidR="006F14BE" w:rsidRPr="00747E7A" w:rsidRDefault="00A20818" w:rsidP="00747E7A">
            <w:pPr>
              <w:ind w:firstLine="0"/>
              <w:jc w:val="center"/>
              <w:rPr>
                <w:b/>
                <w:sz w:val="20"/>
                <w:szCs w:val="20"/>
              </w:rPr>
            </w:pPr>
            <w:r w:rsidRPr="00747E7A">
              <w:rPr>
                <w:b/>
                <w:sz w:val="20"/>
                <w:szCs w:val="20"/>
              </w:rPr>
              <w:t>Приоритет «</w:t>
            </w:r>
            <w:r w:rsidR="00F516C0" w:rsidRPr="00747E7A">
              <w:rPr>
                <w:b/>
                <w:sz w:val="20"/>
                <w:szCs w:val="20"/>
              </w:rPr>
              <w:t>Сбалансированное пространственное развитие</w:t>
            </w:r>
            <w:r w:rsidRPr="00747E7A">
              <w:rPr>
                <w:b/>
                <w:sz w:val="20"/>
                <w:szCs w:val="20"/>
              </w:rPr>
              <w:t>»</w:t>
            </w:r>
          </w:p>
        </w:tc>
      </w:tr>
      <w:tr w:rsidR="001B5D56" w:rsidRPr="00747E7A" w14:paraId="37F2EB58" w14:textId="77777777" w:rsidTr="00FA0783">
        <w:trPr>
          <w:trHeight w:val="218"/>
        </w:trPr>
        <w:tc>
          <w:tcPr>
            <w:tcW w:w="3642" w:type="dxa"/>
            <w:vMerge w:val="restart"/>
          </w:tcPr>
          <w:p w14:paraId="234D2DD9" w14:textId="2CB51C2F" w:rsidR="001B5D56" w:rsidRPr="00747E7A" w:rsidRDefault="001B5D56" w:rsidP="00747E7A">
            <w:pPr>
              <w:ind w:firstLine="0"/>
              <w:rPr>
                <w:sz w:val="20"/>
                <w:szCs w:val="20"/>
              </w:rPr>
            </w:pPr>
            <w:r w:rsidRPr="00747E7A">
              <w:rPr>
                <w:sz w:val="20"/>
                <w:szCs w:val="20"/>
              </w:rPr>
              <w:t>Направление «Повышение качества и доступности жилищно-коммунальных услуг»</w:t>
            </w:r>
          </w:p>
        </w:tc>
        <w:tc>
          <w:tcPr>
            <w:tcW w:w="3078" w:type="dxa"/>
          </w:tcPr>
          <w:p w14:paraId="62E49D5F" w14:textId="7F4010E7" w:rsidR="001B5D56" w:rsidRPr="00747E7A" w:rsidRDefault="001B5D56" w:rsidP="00747E7A">
            <w:pPr>
              <w:ind w:firstLine="0"/>
              <w:rPr>
                <w:sz w:val="20"/>
                <w:szCs w:val="20"/>
              </w:rPr>
            </w:pPr>
            <w:r w:rsidRPr="00747E7A">
              <w:rPr>
                <w:sz w:val="20"/>
                <w:szCs w:val="20"/>
              </w:rPr>
              <w:t>Комплекс мероприятий по строительству и реконструкции сетей теплоснабжения, строительству и проведению капительного ремонта котельных</w:t>
            </w:r>
          </w:p>
        </w:tc>
        <w:tc>
          <w:tcPr>
            <w:tcW w:w="1484" w:type="dxa"/>
          </w:tcPr>
          <w:p w14:paraId="11E43505" w14:textId="77777777" w:rsidR="001B5D56" w:rsidRPr="00747E7A" w:rsidRDefault="001B5D56" w:rsidP="00747E7A">
            <w:pPr>
              <w:ind w:firstLine="0"/>
              <w:rPr>
                <w:sz w:val="20"/>
                <w:szCs w:val="20"/>
              </w:rPr>
            </w:pPr>
            <w:r w:rsidRPr="00747E7A">
              <w:rPr>
                <w:sz w:val="20"/>
                <w:szCs w:val="20"/>
              </w:rPr>
              <w:t>2018-2020</w:t>
            </w:r>
          </w:p>
          <w:p w14:paraId="7AD2BA95" w14:textId="77777777" w:rsidR="001B5D56" w:rsidRPr="00747E7A" w:rsidRDefault="001B5D56" w:rsidP="00747E7A">
            <w:pPr>
              <w:ind w:firstLine="0"/>
              <w:rPr>
                <w:sz w:val="20"/>
                <w:szCs w:val="20"/>
              </w:rPr>
            </w:pPr>
            <w:r w:rsidRPr="00747E7A">
              <w:rPr>
                <w:sz w:val="20"/>
                <w:szCs w:val="20"/>
              </w:rPr>
              <w:t>2021-2025</w:t>
            </w:r>
          </w:p>
          <w:p w14:paraId="7776208C" w14:textId="014CE80F" w:rsidR="001B5D56" w:rsidRPr="00747E7A" w:rsidRDefault="001B5D56" w:rsidP="00747E7A">
            <w:pPr>
              <w:ind w:firstLine="0"/>
              <w:rPr>
                <w:sz w:val="20"/>
                <w:szCs w:val="20"/>
              </w:rPr>
            </w:pPr>
            <w:r w:rsidRPr="00747E7A">
              <w:rPr>
                <w:sz w:val="20"/>
                <w:szCs w:val="20"/>
              </w:rPr>
              <w:t>2026-2030</w:t>
            </w:r>
          </w:p>
        </w:tc>
        <w:tc>
          <w:tcPr>
            <w:tcW w:w="2845" w:type="dxa"/>
          </w:tcPr>
          <w:p w14:paraId="09CB8F4D" w14:textId="6E080BBE"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val="restart"/>
          </w:tcPr>
          <w:p w14:paraId="61453AF0" w14:textId="597DC1E9" w:rsidR="001B5D56" w:rsidRPr="00747E7A" w:rsidRDefault="001B5D56" w:rsidP="00747E7A">
            <w:pPr>
              <w:ind w:firstLine="0"/>
              <w:rPr>
                <w:sz w:val="20"/>
                <w:szCs w:val="20"/>
              </w:rPr>
            </w:pPr>
            <w:r w:rsidRPr="00747E7A">
              <w:rPr>
                <w:sz w:val="20"/>
                <w:szCs w:val="20"/>
              </w:rPr>
              <w:t>Департамент строительства и жилищно-коммунального комплекса Нефтеюганского района</w:t>
            </w:r>
          </w:p>
        </w:tc>
      </w:tr>
      <w:tr w:rsidR="001B5D56" w:rsidRPr="00747E7A" w14:paraId="600C5800" w14:textId="77777777" w:rsidTr="00FA0783">
        <w:trPr>
          <w:trHeight w:val="218"/>
        </w:trPr>
        <w:tc>
          <w:tcPr>
            <w:tcW w:w="3642" w:type="dxa"/>
            <w:vMerge/>
          </w:tcPr>
          <w:p w14:paraId="6DCAD80C" w14:textId="77777777" w:rsidR="001B5D56" w:rsidRPr="00747E7A" w:rsidRDefault="001B5D56" w:rsidP="00747E7A">
            <w:pPr>
              <w:ind w:firstLine="0"/>
              <w:rPr>
                <w:sz w:val="20"/>
                <w:szCs w:val="20"/>
              </w:rPr>
            </w:pPr>
          </w:p>
        </w:tc>
        <w:tc>
          <w:tcPr>
            <w:tcW w:w="3078" w:type="dxa"/>
          </w:tcPr>
          <w:p w14:paraId="19CF3474" w14:textId="653019BB" w:rsidR="001B5D56" w:rsidRPr="00747E7A" w:rsidRDefault="001B5D56" w:rsidP="00747E7A">
            <w:pPr>
              <w:ind w:firstLine="0"/>
              <w:rPr>
                <w:sz w:val="20"/>
                <w:szCs w:val="20"/>
              </w:rPr>
            </w:pPr>
            <w:r w:rsidRPr="00747E7A">
              <w:rPr>
                <w:sz w:val="20"/>
                <w:szCs w:val="20"/>
              </w:rPr>
              <w:t xml:space="preserve">Комплекс мероприятий по повышению энергоэффективности системы теплоснабжения, модернизация и строительство новых энергоэффективных объектов теплоснабжения </w:t>
            </w:r>
          </w:p>
        </w:tc>
        <w:tc>
          <w:tcPr>
            <w:tcW w:w="1484" w:type="dxa"/>
          </w:tcPr>
          <w:p w14:paraId="7E6F39B9" w14:textId="77777777" w:rsidR="001B5D56" w:rsidRPr="00747E7A" w:rsidRDefault="001B5D56" w:rsidP="00747E7A">
            <w:pPr>
              <w:ind w:firstLine="0"/>
              <w:rPr>
                <w:sz w:val="20"/>
                <w:szCs w:val="20"/>
              </w:rPr>
            </w:pPr>
            <w:r w:rsidRPr="00747E7A">
              <w:rPr>
                <w:sz w:val="20"/>
                <w:szCs w:val="20"/>
              </w:rPr>
              <w:t>2018-2020</w:t>
            </w:r>
          </w:p>
          <w:p w14:paraId="0C0669D8" w14:textId="77777777" w:rsidR="001B5D56" w:rsidRPr="00747E7A" w:rsidRDefault="001B5D56" w:rsidP="00747E7A">
            <w:pPr>
              <w:ind w:firstLine="0"/>
              <w:rPr>
                <w:sz w:val="20"/>
                <w:szCs w:val="20"/>
              </w:rPr>
            </w:pPr>
            <w:r w:rsidRPr="00747E7A">
              <w:rPr>
                <w:sz w:val="20"/>
                <w:szCs w:val="20"/>
              </w:rPr>
              <w:t>2021-2025</w:t>
            </w:r>
          </w:p>
          <w:p w14:paraId="3D1C15CA" w14:textId="6D17373E" w:rsidR="001B5D56" w:rsidRPr="00747E7A" w:rsidRDefault="001B5D56" w:rsidP="00747E7A">
            <w:pPr>
              <w:ind w:firstLine="0"/>
              <w:rPr>
                <w:sz w:val="20"/>
                <w:szCs w:val="20"/>
              </w:rPr>
            </w:pPr>
            <w:r w:rsidRPr="00747E7A">
              <w:rPr>
                <w:sz w:val="20"/>
                <w:szCs w:val="20"/>
              </w:rPr>
              <w:t>2026-2030</w:t>
            </w:r>
          </w:p>
        </w:tc>
        <w:tc>
          <w:tcPr>
            <w:tcW w:w="2845" w:type="dxa"/>
          </w:tcPr>
          <w:p w14:paraId="797CC371" w14:textId="27645F3C"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tcPr>
          <w:p w14:paraId="4262B6D1" w14:textId="77777777" w:rsidR="001B5D56" w:rsidRPr="00747E7A" w:rsidRDefault="001B5D56" w:rsidP="00747E7A">
            <w:pPr>
              <w:ind w:firstLine="0"/>
              <w:rPr>
                <w:sz w:val="20"/>
                <w:szCs w:val="20"/>
              </w:rPr>
            </w:pPr>
          </w:p>
        </w:tc>
      </w:tr>
      <w:tr w:rsidR="001B5D56" w:rsidRPr="00747E7A" w14:paraId="278F1B91" w14:textId="77777777" w:rsidTr="00FA0783">
        <w:trPr>
          <w:trHeight w:val="218"/>
        </w:trPr>
        <w:tc>
          <w:tcPr>
            <w:tcW w:w="3642" w:type="dxa"/>
            <w:vMerge/>
          </w:tcPr>
          <w:p w14:paraId="4DE99F1D" w14:textId="77777777" w:rsidR="001B5D56" w:rsidRPr="00747E7A" w:rsidRDefault="001B5D56" w:rsidP="00747E7A">
            <w:pPr>
              <w:ind w:firstLine="0"/>
              <w:rPr>
                <w:sz w:val="20"/>
                <w:szCs w:val="20"/>
              </w:rPr>
            </w:pPr>
          </w:p>
        </w:tc>
        <w:tc>
          <w:tcPr>
            <w:tcW w:w="3078" w:type="dxa"/>
          </w:tcPr>
          <w:p w14:paraId="168A0065" w14:textId="3E39B063" w:rsidR="001B5D56" w:rsidRPr="00747E7A" w:rsidRDefault="001B5D56" w:rsidP="00747E7A">
            <w:pPr>
              <w:ind w:firstLine="0"/>
              <w:rPr>
                <w:sz w:val="20"/>
                <w:szCs w:val="20"/>
              </w:rPr>
            </w:pPr>
            <w:r w:rsidRPr="00747E7A">
              <w:rPr>
                <w:sz w:val="20"/>
                <w:szCs w:val="20"/>
              </w:rPr>
              <w:t>Комплекс мероприятий по строительству и реконструкции сетей водоснабжения и водоотведения, строительству и проведению капительного ремонта очистных сооружений и артезианских скважин</w:t>
            </w:r>
          </w:p>
        </w:tc>
        <w:tc>
          <w:tcPr>
            <w:tcW w:w="1484" w:type="dxa"/>
          </w:tcPr>
          <w:p w14:paraId="2EAF3312" w14:textId="77777777" w:rsidR="001B5D56" w:rsidRPr="00747E7A" w:rsidRDefault="001B5D56" w:rsidP="00747E7A">
            <w:pPr>
              <w:ind w:firstLine="0"/>
              <w:rPr>
                <w:sz w:val="20"/>
                <w:szCs w:val="20"/>
              </w:rPr>
            </w:pPr>
            <w:r w:rsidRPr="00747E7A">
              <w:rPr>
                <w:sz w:val="20"/>
                <w:szCs w:val="20"/>
              </w:rPr>
              <w:t>2018-2020</w:t>
            </w:r>
          </w:p>
          <w:p w14:paraId="12470299" w14:textId="77777777" w:rsidR="001B5D56" w:rsidRPr="00747E7A" w:rsidRDefault="001B5D56" w:rsidP="00747E7A">
            <w:pPr>
              <w:ind w:firstLine="0"/>
              <w:rPr>
                <w:sz w:val="20"/>
                <w:szCs w:val="20"/>
              </w:rPr>
            </w:pPr>
            <w:r w:rsidRPr="00747E7A">
              <w:rPr>
                <w:sz w:val="20"/>
                <w:szCs w:val="20"/>
              </w:rPr>
              <w:t>2021-2025</w:t>
            </w:r>
          </w:p>
          <w:p w14:paraId="473DD98A" w14:textId="493B5EE1" w:rsidR="001B5D56" w:rsidRPr="00747E7A" w:rsidRDefault="001B5D56" w:rsidP="00747E7A">
            <w:pPr>
              <w:ind w:firstLine="0"/>
              <w:rPr>
                <w:sz w:val="20"/>
                <w:szCs w:val="20"/>
              </w:rPr>
            </w:pPr>
            <w:r w:rsidRPr="00747E7A">
              <w:rPr>
                <w:sz w:val="20"/>
                <w:szCs w:val="20"/>
              </w:rPr>
              <w:t>2026-2030</w:t>
            </w:r>
          </w:p>
        </w:tc>
        <w:tc>
          <w:tcPr>
            <w:tcW w:w="2845" w:type="dxa"/>
          </w:tcPr>
          <w:p w14:paraId="2ACF5B7A" w14:textId="30C905C5"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tcPr>
          <w:p w14:paraId="6FF510B6" w14:textId="77777777" w:rsidR="001B5D56" w:rsidRPr="00747E7A" w:rsidRDefault="001B5D56" w:rsidP="00747E7A">
            <w:pPr>
              <w:ind w:firstLine="0"/>
              <w:rPr>
                <w:sz w:val="20"/>
                <w:szCs w:val="20"/>
              </w:rPr>
            </w:pPr>
          </w:p>
        </w:tc>
      </w:tr>
      <w:tr w:rsidR="001B5D56" w:rsidRPr="00747E7A" w14:paraId="1E0A324B" w14:textId="77777777" w:rsidTr="00FA0783">
        <w:trPr>
          <w:trHeight w:val="218"/>
        </w:trPr>
        <w:tc>
          <w:tcPr>
            <w:tcW w:w="3642" w:type="dxa"/>
            <w:vMerge/>
          </w:tcPr>
          <w:p w14:paraId="19E4EDD0" w14:textId="77777777" w:rsidR="001B5D56" w:rsidRPr="00747E7A" w:rsidRDefault="001B5D56" w:rsidP="00747E7A">
            <w:pPr>
              <w:ind w:firstLine="0"/>
              <w:rPr>
                <w:sz w:val="20"/>
                <w:szCs w:val="20"/>
              </w:rPr>
            </w:pPr>
          </w:p>
        </w:tc>
        <w:tc>
          <w:tcPr>
            <w:tcW w:w="3078" w:type="dxa"/>
          </w:tcPr>
          <w:p w14:paraId="7E83F2DD" w14:textId="39C0386B" w:rsidR="001B5D56" w:rsidRPr="00747E7A" w:rsidRDefault="001B5D56" w:rsidP="00747E7A">
            <w:pPr>
              <w:ind w:firstLine="0"/>
              <w:rPr>
                <w:sz w:val="20"/>
                <w:szCs w:val="20"/>
              </w:rPr>
            </w:pPr>
            <w:r w:rsidRPr="00747E7A">
              <w:rPr>
                <w:sz w:val="20"/>
                <w:szCs w:val="20"/>
              </w:rPr>
              <w:t>Комплекс мероприятий по строительству и реконструкции сетей электроснабжения, строительству и реконструкции понизительных подстанций</w:t>
            </w:r>
          </w:p>
        </w:tc>
        <w:tc>
          <w:tcPr>
            <w:tcW w:w="1484" w:type="dxa"/>
          </w:tcPr>
          <w:p w14:paraId="05B3B988" w14:textId="77777777" w:rsidR="001B5D56" w:rsidRPr="00747E7A" w:rsidRDefault="001B5D56" w:rsidP="00747E7A">
            <w:pPr>
              <w:ind w:firstLine="0"/>
              <w:rPr>
                <w:sz w:val="20"/>
                <w:szCs w:val="20"/>
              </w:rPr>
            </w:pPr>
            <w:r w:rsidRPr="00747E7A">
              <w:rPr>
                <w:sz w:val="20"/>
                <w:szCs w:val="20"/>
              </w:rPr>
              <w:t>2018-2020</w:t>
            </w:r>
          </w:p>
          <w:p w14:paraId="5AE13713" w14:textId="77777777" w:rsidR="001B5D56" w:rsidRPr="00747E7A" w:rsidRDefault="001B5D56" w:rsidP="00747E7A">
            <w:pPr>
              <w:ind w:firstLine="0"/>
              <w:rPr>
                <w:sz w:val="20"/>
                <w:szCs w:val="20"/>
              </w:rPr>
            </w:pPr>
            <w:r w:rsidRPr="00747E7A">
              <w:rPr>
                <w:sz w:val="20"/>
                <w:szCs w:val="20"/>
              </w:rPr>
              <w:t>2021-2025</w:t>
            </w:r>
          </w:p>
          <w:p w14:paraId="2709123B" w14:textId="0D0AB53D" w:rsidR="001B5D56" w:rsidRPr="00747E7A" w:rsidRDefault="001B5D56" w:rsidP="00747E7A">
            <w:pPr>
              <w:ind w:firstLine="0"/>
              <w:rPr>
                <w:sz w:val="20"/>
                <w:szCs w:val="20"/>
              </w:rPr>
            </w:pPr>
            <w:r w:rsidRPr="00747E7A">
              <w:rPr>
                <w:sz w:val="20"/>
                <w:szCs w:val="20"/>
              </w:rPr>
              <w:t>2026-2030</w:t>
            </w:r>
          </w:p>
        </w:tc>
        <w:tc>
          <w:tcPr>
            <w:tcW w:w="2845" w:type="dxa"/>
          </w:tcPr>
          <w:p w14:paraId="220D2459" w14:textId="2AEF18BB"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tcPr>
          <w:p w14:paraId="6D3825AC" w14:textId="77777777" w:rsidR="001B5D56" w:rsidRPr="00747E7A" w:rsidRDefault="001B5D56" w:rsidP="00747E7A">
            <w:pPr>
              <w:ind w:firstLine="0"/>
              <w:rPr>
                <w:sz w:val="20"/>
                <w:szCs w:val="20"/>
              </w:rPr>
            </w:pPr>
          </w:p>
        </w:tc>
      </w:tr>
      <w:tr w:rsidR="001B5D56" w:rsidRPr="00747E7A" w14:paraId="21EE16E0" w14:textId="77777777" w:rsidTr="00FA0783">
        <w:trPr>
          <w:trHeight w:val="218"/>
        </w:trPr>
        <w:tc>
          <w:tcPr>
            <w:tcW w:w="3642" w:type="dxa"/>
            <w:vMerge/>
          </w:tcPr>
          <w:p w14:paraId="2F581A1C" w14:textId="77777777" w:rsidR="001B5D56" w:rsidRPr="00747E7A" w:rsidRDefault="001B5D56" w:rsidP="00747E7A">
            <w:pPr>
              <w:ind w:firstLine="0"/>
              <w:rPr>
                <w:sz w:val="20"/>
                <w:szCs w:val="20"/>
              </w:rPr>
            </w:pPr>
          </w:p>
        </w:tc>
        <w:tc>
          <w:tcPr>
            <w:tcW w:w="3078" w:type="dxa"/>
          </w:tcPr>
          <w:p w14:paraId="61EE7CBC" w14:textId="306E0AC2" w:rsidR="001B5D56" w:rsidRPr="00747E7A" w:rsidRDefault="001B5D56" w:rsidP="00747E7A">
            <w:pPr>
              <w:ind w:firstLine="0"/>
              <w:rPr>
                <w:sz w:val="20"/>
                <w:szCs w:val="20"/>
              </w:rPr>
            </w:pPr>
            <w:r w:rsidRPr="00747E7A">
              <w:rPr>
                <w:sz w:val="20"/>
                <w:szCs w:val="20"/>
              </w:rPr>
              <w:t xml:space="preserve">Комплекс мероприятий по газификации населенных пунктов: строительство газораспределительных станций и газопроводов высокого </w:t>
            </w:r>
            <w:r w:rsidRPr="00747E7A">
              <w:rPr>
                <w:sz w:val="20"/>
                <w:szCs w:val="20"/>
              </w:rPr>
              <w:lastRenderedPageBreak/>
              <w:t>давления</w:t>
            </w:r>
          </w:p>
        </w:tc>
        <w:tc>
          <w:tcPr>
            <w:tcW w:w="1484" w:type="dxa"/>
          </w:tcPr>
          <w:p w14:paraId="6ED796C3" w14:textId="77777777" w:rsidR="001B5D56" w:rsidRPr="00747E7A" w:rsidRDefault="001B5D56" w:rsidP="00747E7A">
            <w:pPr>
              <w:ind w:firstLine="0"/>
              <w:rPr>
                <w:sz w:val="20"/>
                <w:szCs w:val="20"/>
              </w:rPr>
            </w:pPr>
            <w:r w:rsidRPr="00747E7A">
              <w:rPr>
                <w:sz w:val="20"/>
                <w:szCs w:val="20"/>
              </w:rPr>
              <w:lastRenderedPageBreak/>
              <w:t>2018-2020</w:t>
            </w:r>
          </w:p>
          <w:p w14:paraId="5FBF9A1E" w14:textId="77777777" w:rsidR="001B5D56" w:rsidRPr="00747E7A" w:rsidRDefault="001B5D56" w:rsidP="00747E7A">
            <w:pPr>
              <w:ind w:firstLine="0"/>
              <w:rPr>
                <w:sz w:val="20"/>
                <w:szCs w:val="20"/>
              </w:rPr>
            </w:pPr>
            <w:r w:rsidRPr="00747E7A">
              <w:rPr>
                <w:sz w:val="20"/>
                <w:szCs w:val="20"/>
              </w:rPr>
              <w:t>2021-2025</w:t>
            </w:r>
          </w:p>
          <w:p w14:paraId="15342CF7" w14:textId="548864A9" w:rsidR="001B5D56" w:rsidRPr="00747E7A" w:rsidRDefault="001B5D56" w:rsidP="00747E7A">
            <w:pPr>
              <w:ind w:firstLine="0"/>
              <w:rPr>
                <w:sz w:val="20"/>
                <w:szCs w:val="20"/>
              </w:rPr>
            </w:pPr>
            <w:r w:rsidRPr="00747E7A">
              <w:rPr>
                <w:sz w:val="20"/>
                <w:szCs w:val="20"/>
              </w:rPr>
              <w:t>2026-2030</w:t>
            </w:r>
          </w:p>
        </w:tc>
        <w:tc>
          <w:tcPr>
            <w:tcW w:w="2845" w:type="dxa"/>
          </w:tcPr>
          <w:p w14:paraId="0DADAC17" w14:textId="34CD8EDA" w:rsidR="001B5D56" w:rsidRPr="00747E7A" w:rsidRDefault="001B5D56" w:rsidP="00114969">
            <w:pPr>
              <w:ind w:firstLine="0"/>
              <w:jc w:val="left"/>
              <w:rPr>
                <w:sz w:val="20"/>
                <w:szCs w:val="20"/>
              </w:rPr>
            </w:pPr>
            <w:r w:rsidRPr="00747E7A">
              <w:rPr>
                <w:sz w:val="20"/>
                <w:szCs w:val="20"/>
              </w:rPr>
              <w:t>бюджет автономного округа, районный бюджет, внебюджетные средства</w:t>
            </w:r>
          </w:p>
        </w:tc>
        <w:tc>
          <w:tcPr>
            <w:tcW w:w="3577" w:type="dxa"/>
            <w:vMerge/>
          </w:tcPr>
          <w:p w14:paraId="5AAFB636" w14:textId="77777777" w:rsidR="001B5D56" w:rsidRPr="00747E7A" w:rsidRDefault="001B5D56" w:rsidP="00747E7A">
            <w:pPr>
              <w:ind w:firstLine="0"/>
              <w:rPr>
                <w:sz w:val="20"/>
                <w:szCs w:val="20"/>
              </w:rPr>
            </w:pPr>
          </w:p>
        </w:tc>
      </w:tr>
      <w:tr w:rsidR="001B5D56" w:rsidRPr="00747E7A" w14:paraId="6E4420FA" w14:textId="77777777" w:rsidTr="00FA0783">
        <w:trPr>
          <w:trHeight w:val="218"/>
        </w:trPr>
        <w:tc>
          <w:tcPr>
            <w:tcW w:w="3642" w:type="dxa"/>
            <w:vMerge/>
          </w:tcPr>
          <w:p w14:paraId="4576A9B4" w14:textId="77777777" w:rsidR="001B5D56" w:rsidRPr="00747E7A" w:rsidRDefault="001B5D56" w:rsidP="00747E7A">
            <w:pPr>
              <w:ind w:firstLine="0"/>
              <w:rPr>
                <w:sz w:val="20"/>
                <w:szCs w:val="20"/>
              </w:rPr>
            </w:pPr>
          </w:p>
        </w:tc>
        <w:tc>
          <w:tcPr>
            <w:tcW w:w="3078" w:type="dxa"/>
          </w:tcPr>
          <w:p w14:paraId="7459402B" w14:textId="5D2E73AB" w:rsidR="001B5D56" w:rsidRPr="00747E7A" w:rsidRDefault="001B5D56" w:rsidP="00747E7A">
            <w:pPr>
              <w:ind w:firstLine="0"/>
              <w:rPr>
                <w:sz w:val="20"/>
                <w:szCs w:val="20"/>
              </w:rPr>
            </w:pPr>
            <w:r w:rsidRPr="00747E7A">
              <w:rPr>
                <w:sz w:val="20"/>
                <w:szCs w:val="20"/>
              </w:rPr>
              <w:t>Комплекс мероприятий по регистрации б</w:t>
            </w:r>
            <w:r w:rsidRPr="00747E7A">
              <w:rPr>
                <w:spacing w:val="-1"/>
                <w:sz w:val="20"/>
                <w:szCs w:val="20"/>
              </w:rPr>
              <w:t>ес</w:t>
            </w:r>
            <w:r w:rsidRPr="00747E7A">
              <w:rPr>
                <w:spacing w:val="2"/>
                <w:sz w:val="20"/>
                <w:szCs w:val="20"/>
              </w:rPr>
              <w:t>х</w:t>
            </w:r>
            <w:r w:rsidRPr="00747E7A">
              <w:rPr>
                <w:sz w:val="20"/>
                <w:szCs w:val="20"/>
              </w:rPr>
              <w:t>о</w:t>
            </w:r>
            <w:r w:rsidRPr="00747E7A">
              <w:rPr>
                <w:spacing w:val="1"/>
                <w:sz w:val="20"/>
                <w:szCs w:val="20"/>
              </w:rPr>
              <w:t>з</w:t>
            </w:r>
            <w:r w:rsidRPr="00747E7A">
              <w:rPr>
                <w:spacing w:val="-2"/>
                <w:sz w:val="20"/>
                <w:szCs w:val="20"/>
              </w:rPr>
              <w:t>я</w:t>
            </w:r>
            <w:r w:rsidRPr="00747E7A">
              <w:rPr>
                <w:spacing w:val="1"/>
                <w:sz w:val="20"/>
                <w:szCs w:val="20"/>
              </w:rPr>
              <w:t>йн</w:t>
            </w:r>
            <w:r w:rsidRPr="00747E7A">
              <w:rPr>
                <w:spacing w:val="-3"/>
                <w:sz w:val="20"/>
                <w:szCs w:val="20"/>
              </w:rPr>
              <w:t>ы</w:t>
            </w:r>
            <w:r w:rsidRPr="00747E7A">
              <w:rPr>
                <w:sz w:val="20"/>
                <w:szCs w:val="20"/>
              </w:rPr>
              <w:t>х</w:t>
            </w:r>
            <w:r w:rsidRPr="00747E7A">
              <w:rPr>
                <w:spacing w:val="5"/>
                <w:sz w:val="20"/>
                <w:szCs w:val="20"/>
              </w:rPr>
              <w:t xml:space="preserve"> </w:t>
            </w:r>
            <w:r w:rsidRPr="00747E7A">
              <w:rPr>
                <w:sz w:val="20"/>
                <w:szCs w:val="20"/>
              </w:rPr>
              <w:t xml:space="preserve">инженерных </w:t>
            </w:r>
            <w:r w:rsidRPr="00747E7A">
              <w:rPr>
                <w:spacing w:val="-1"/>
                <w:sz w:val="20"/>
                <w:szCs w:val="20"/>
              </w:rPr>
              <w:t>се</w:t>
            </w:r>
            <w:r w:rsidRPr="00747E7A">
              <w:rPr>
                <w:sz w:val="20"/>
                <w:szCs w:val="20"/>
              </w:rPr>
              <w:t>тей в Госреестре как объектов муниципальной собственности</w:t>
            </w:r>
          </w:p>
        </w:tc>
        <w:tc>
          <w:tcPr>
            <w:tcW w:w="1484" w:type="dxa"/>
          </w:tcPr>
          <w:p w14:paraId="0F8A9997" w14:textId="77777777" w:rsidR="001B5D56" w:rsidRPr="00747E7A" w:rsidRDefault="001B5D56" w:rsidP="00747E7A">
            <w:pPr>
              <w:ind w:firstLine="0"/>
              <w:rPr>
                <w:sz w:val="20"/>
                <w:szCs w:val="20"/>
              </w:rPr>
            </w:pPr>
            <w:r w:rsidRPr="00747E7A">
              <w:rPr>
                <w:sz w:val="20"/>
                <w:szCs w:val="20"/>
              </w:rPr>
              <w:t>2018-2020</w:t>
            </w:r>
          </w:p>
          <w:p w14:paraId="5332E270" w14:textId="77777777" w:rsidR="001B5D56" w:rsidRPr="00747E7A" w:rsidRDefault="001B5D56" w:rsidP="00747E7A">
            <w:pPr>
              <w:ind w:firstLine="0"/>
              <w:rPr>
                <w:sz w:val="20"/>
                <w:szCs w:val="20"/>
              </w:rPr>
            </w:pPr>
            <w:r w:rsidRPr="00747E7A">
              <w:rPr>
                <w:sz w:val="20"/>
                <w:szCs w:val="20"/>
              </w:rPr>
              <w:t>2021-2025</w:t>
            </w:r>
          </w:p>
          <w:p w14:paraId="1EFFB366" w14:textId="6225BF72" w:rsidR="001B5D56" w:rsidRPr="00747E7A" w:rsidRDefault="001B5D56" w:rsidP="00747E7A">
            <w:pPr>
              <w:ind w:firstLine="0"/>
              <w:rPr>
                <w:sz w:val="20"/>
                <w:szCs w:val="20"/>
              </w:rPr>
            </w:pPr>
            <w:r w:rsidRPr="00747E7A">
              <w:rPr>
                <w:sz w:val="20"/>
                <w:szCs w:val="20"/>
              </w:rPr>
              <w:t>2026-2030</w:t>
            </w:r>
          </w:p>
        </w:tc>
        <w:tc>
          <w:tcPr>
            <w:tcW w:w="2845" w:type="dxa"/>
          </w:tcPr>
          <w:p w14:paraId="52921A9C" w14:textId="15DF79BA"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4A13A23F" w14:textId="77777777" w:rsidR="001B5D56" w:rsidRPr="00747E7A" w:rsidRDefault="001B5D56" w:rsidP="00747E7A">
            <w:pPr>
              <w:ind w:firstLine="0"/>
              <w:rPr>
                <w:sz w:val="20"/>
                <w:szCs w:val="20"/>
              </w:rPr>
            </w:pPr>
          </w:p>
        </w:tc>
      </w:tr>
      <w:tr w:rsidR="001B5D56" w:rsidRPr="00747E7A" w14:paraId="7F7F38F2" w14:textId="77777777" w:rsidTr="00FA0783">
        <w:trPr>
          <w:trHeight w:val="218"/>
        </w:trPr>
        <w:tc>
          <w:tcPr>
            <w:tcW w:w="3642" w:type="dxa"/>
            <w:vMerge/>
          </w:tcPr>
          <w:p w14:paraId="449D3A1E" w14:textId="77777777" w:rsidR="001B5D56" w:rsidRPr="00747E7A" w:rsidRDefault="001B5D56" w:rsidP="00747E7A">
            <w:pPr>
              <w:ind w:firstLine="0"/>
              <w:rPr>
                <w:sz w:val="20"/>
                <w:szCs w:val="20"/>
              </w:rPr>
            </w:pPr>
          </w:p>
        </w:tc>
        <w:tc>
          <w:tcPr>
            <w:tcW w:w="3078" w:type="dxa"/>
          </w:tcPr>
          <w:p w14:paraId="5ECB6B56" w14:textId="266F75A7" w:rsidR="001B5D56" w:rsidRPr="00747E7A" w:rsidRDefault="001B5D56" w:rsidP="00747E7A">
            <w:pPr>
              <w:ind w:firstLine="0"/>
              <w:rPr>
                <w:sz w:val="20"/>
                <w:szCs w:val="20"/>
              </w:rPr>
            </w:pPr>
            <w:r w:rsidRPr="00747E7A">
              <w:rPr>
                <w:sz w:val="20"/>
                <w:szCs w:val="20"/>
              </w:rPr>
              <w:t xml:space="preserve">Комплекс мероприятий </w:t>
            </w:r>
            <w:r w:rsidRPr="00747E7A">
              <w:rPr>
                <w:rStyle w:val="style161"/>
                <w:color w:val="000000" w:themeColor="text1"/>
                <w:sz w:val="20"/>
                <w:szCs w:val="20"/>
              </w:rPr>
              <w:t xml:space="preserve">по передаче </w:t>
            </w:r>
            <w:r w:rsidRPr="00747E7A">
              <w:rPr>
                <w:sz w:val="20"/>
                <w:szCs w:val="20"/>
              </w:rPr>
              <w:t xml:space="preserve">объектов инженерной инфраструктуры, находящейся в муниципальной собственности сельских поселений, </w:t>
            </w:r>
            <w:r w:rsidRPr="00747E7A">
              <w:rPr>
                <w:rStyle w:val="style161"/>
                <w:color w:val="000000" w:themeColor="text1"/>
                <w:sz w:val="20"/>
                <w:szCs w:val="20"/>
              </w:rPr>
              <w:t>по концессионным соглашениям</w:t>
            </w:r>
          </w:p>
        </w:tc>
        <w:tc>
          <w:tcPr>
            <w:tcW w:w="1484" w:type="dxa"/>
          </w:tcPr>
          <w:p w14:paraId="5A185F9B" w14:textId="77777777" w:rsidR="001B5D56" w:rsidRPr="00747E7A" w:rsidRDefault="001B5D56" w:rsidP="00747E7A">
            <w:pPr>
              <w:ind w:firstLine="0"/>
              <w:rPr>
                <w:sz w:val="20"/>
                <w:szCs w:val="20"/>
              </w:rPr>
            </w:pPr>
            <w:r w:rsidRPr="00747E7A">
              <w:rPr>
                <w:sz w:val="20"/>
                <w:szCs w:val="20"/>
              </w:rPr>
              <w:t>2018-2020</w:t>
            </w:r>
          </w:p>
          <w:p w14:paraId="74189A24" w14:textId="77777777" w:rsidR="001B5D56" w:rsidRPr="00747E7A" w:rsidRDefault="001B5D56" w:rsidP="00747E7A">
            <w:pPr>
              <w:ind w:firstLine="0"/>
              <w:rPr>
                <w:sz w:val="20"/>
                <w:szCs w:val="20"/>
              </w:rPr>
            </w:pPr>
            <w:r w:rsidRPr="00747E7A">
              <w:rPr>
                <w:sz w:val="20"/>
                <w:szCs w:val="20"/>
              </w:rPr>
              <w:t>2021-2025</w:t>
            </w:r>
          </w:p>
          <w:p w14:paraId="3CE1A54C" w14:textId="6EDE594D" w:rsidR="001B5D56" w:rsidRPr="00747E7A" w:rsidRDefault="001B5D56" w:rsidP="00747E7A">
            <w:pPr>
              <w:ind w:firstLine="0"/>
              <w:rPr>
                <w:sz w:val="20"/>
                <w:szCs w:val="20"/>
              </w:rPr>
            </w:pPr>
            <w:r w:rsidRPr="00747E7A">
              <w:rPr>
                <w:sz w:val="20"/>
                <w:szCs w:val="20"/>
              </w:rPr>
              <w:t>2026-2030</w:t>
            </w:r>
          </w:p>
        </w:tc>
        <w:tc>
          <w:tcPr>
            <w:tcW w:w="2845" w:type="dxa"/>
          </w:tcPr>
          <w:p w14:paraId="378F3365" w14:textId="676E60A9"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0BB37AEB" w14:textId="77777777" w:rsidR="001B5D56" w:rsidRPr="00747E7A" w:rsidRDefault="001B5D56" w:rsidP="00747E7A">
            <w:pPr>
              <w:ind w:firstLine="0"/>
              <w:rPr>
                <w:sz w:val="20"/>
                <w:szCs w:val="20"/>
              </w:rPr>
            </w:pPr>
          </w:p>
        </w:tc>
      </w:tr>
      <w:tr w:rsidR="001B5D56" w:rsidRPr="00747E7A" w14:paraId="2CFB98B6" w14:textId="77777777" w:rsidTr="00FA0783">
        <w:trPr>
          <w:trHeight w:val="218"/>
        </w:trPr>
        <w:tc>
          <w:tcPr>
            <w:tcW w:w="3642" w:type="dxa"/>
            <w:vMerge/>
          </w:tcPr>
          <w:p w14:paraId="1ABB053F" w14:textId="77777777" w:rsidR="001B5D56" w:rsidRPr="00747E7A" w:rsidRDefault="001B5D56" w:rsidP="00747E7A">
            <w:pPr>
              <w:ind w:firstLine="0"/>
              <w:rPr>
                <w:sz w:val="20"/>
                <w:szCs w:val="20"/>
              </w:rPr>
            </w:pPr>
          </w:p>
        </w:tc>
        <w:tc>
          <w:tcPr>
            <w:tcW w:w="3078" w:type="dxa"/>
          </w:tcPr>
          <w:p w14:paraId="13C4F2BE" w14:textId="618665D1" w:rsidR="001B5D56" w:rsidRPr="00747E7A" w:rsidRDefault="001B5D56" w:rsidP="00747E7A">
            <w:pPr>
              <w:ind w:firstLine="0"/>
              <w:rPr>
                <w:sz w:val="20"/>
                <w:szCs w:val="20"/>
              </w:rPr>
            </w:pPr>
            <w:r w:rsidRPr="00747E7A">
              <w:rPr>
                <w:sz w:val="20"/>
                <w:szCs w:val="20"/>
              </w:rPr>
              <w:t>Комплекс мероприятий по повышению эффективности содержания общего имущества многоквартирных домов</w:t>
            </w:r>
          </w:p>
        </w:tc>
        <w:tc>
          <w:tcPr>
            <w:tcW w:w="1484" w:type="dxa"/>
          </w:tcPr>
          <w:p w14:paraId="6314D37C" w14:textId="77777777" w:rsidR="001B5D56" w:rsidRPr="00747E7A" w:rsidRDefault="001B5D56" w:rsidP="00747E7A">
            <w:pPr>
              <w:ind w:firstLine="0"/>
              <w:rPr>
                <w:sz w:val="20"/>
                <w:szCs w:val="20"/>
              </w:rPr>
            </w:pPr>
            <w:r w:rsidRPr="00747E7A">
              <w:rPr>
                <w:sz w:val="20"/>
                <w:szCs w:val="20"/>
              </w:rPr>
              <w:t>2018-2020</w:t>
            </w:r>
          </w:p>
          <w:p w14:paraId="31022745" w14:textId="77777777" w:rsidR="001B5D56" w:rsidRPr="00747E7A" w:rsidRDefault="001B5D56" w:rsidP="00747E7A">
            <w:pPr>
              <w:ind w:firstLine="0"/>
              <w:rPr>
                <w:sz w:val="20"/>
                <w:szCs w:val="20"/>
              </w:rPr>
            </w:pPr>
            <w:r w:rsidRPr="00747E7A">
              <w:rPr>
                <w:sz w:val="20"/>
                <w:szCs w:val="20"/>
              </w:rPr>
              <w:t>2021-2025</w:t>
            </w:r>
          </w:p>
          <w:p w14:paraId="05A126FD" w14:textId="3AA95922" w:rsidR="001B5D56" w:rsidRPr="00747E7A" w:rsidRDefault="001B5D56" w:rsidP="00747E7A">
            <w:pPr>
              <w:ind w:firstLine="0"/>
              <w:rPr>
                <w:sz w:val="20"/>
                <w:szCs w:val="20"/>
              </w:rPr>
            </w:pPr>
            <w:r w:rsidRPr="00747E7A">
              <w:rPr>
                <w:sz w:val="20"/>
                <w:szCs w:val="20"/>
              </w:rPr>
              <w:t>2026-2030</w:t>
            </w:r>
          </w:p>
        </w:tc>
        <w:tc>
          <w:tcPr>
            <w:tcW w:w="2845" w:type="dxa"/>
          </w:tcPr>
          <w:p w14:paraId="126161B9" w14:textId="107F10D5"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3CEEB752" w14:textId="77777777" w:rsidR="001B5D56" w:rsidRPr="00747E7A" w:rsidRDefault="001B5D56" w:rsidP="00747E7A">
            <w:pPr>
              <w:ind w:firstLine="0"/>
              <w:rPr>
                <w:sz w:val="20"/>
                <w:szCs w:val="20"/>
              </w:rPr>
            </w:pPr>
          </w:p>
        </w:tc>
      </w:tr>
      <w:tr w:rsidR="001B5D56" w:rsidRPr="00747E7A" w14:paraId="11F8925B" w14:textId="77777777" w:rsidTr="00FA0783">
        <w:trPr>
          <w:trHeight w:val="941"/>
        </w:trPr>
        <w:tc>
          <w:tcPr>
            <w:tcW w:w="3642" w:type="dxa"/>
            <w:vMerge/>
          </w:tcPr>
          <w:p w14:paraId="6AA97208" w14:textId="77777777" w:rsidR="001B5D56" w:rsidRPr="00747E7A" w:rsidRDefault="001B5D56" w:rsidP="00747E7A">
            <w:pPr>
              <w:ind w:firstLine="0"/>
              <w:rPr>
                <w:sz w:val="20"/>
                <w:szCs w:val="20"/>
              </w:rPr>
            </w:pPr>
          </w:p>
        </w:tc>
        <w:tc>
          <w:tcPr>
            <w:tcW w:w="3078" w:type="dxa"/>
          </w:tcPr>
          <w:p w14:paraId="018892B3" w14:textId="55FA01B3" w:rsidR="001B5D56" w:rsidRPr="00747E7A" w:rsidRDefault="001B5D56" w:rsidP="00747E7A">
            <w:pPr>
              <w:ind w:firstLine="0"/>
              <w:rPr>
                <w:sz w:val="20"/>
                <w:szCs w:val="20"/>
              </w:rPr>
            </w:pPr>
            <w:r w:rsidRPr="00747E7A">
              <w:rPr>
                <w:sz w:val="20"/>
                <w:szCs w:val="20"/>
              </w:rPr>
              <w:t>Комплекс мероприятий по ликвидации аварийного, ветхого и фенольного жилищного фонда</w:t>
            </w:r>
          </w:p>
        </w:tc>
        <w:tc>
          <w:tcPr>
            <w:tcW w:w="1484" w:type="dxa"/>
          </w:tcPr>
          <w:p w14:paraId="0DCD49BE" w14:textId="77777777" w:rsidR="001B5D56" w:rsidRPr="00747E7A" w:rsidRDefault="001B5D56" w:rsidP="00747E7A">
            <w:pPr>
              <w:ind w:firstLine="0"/>
              <w:rPr>
                <w:sz w:val="20"/>
                <w:szCs w:val="20"/>
              </w:rPr>
            </w:pPr>
            <w:r w:rsidRPr="00747E7A">
              <w:rPr>
                <w:sz w:val="20"/>
                <w:szCs w:val="20"/>
              </w:rPr>
              <w:t>2018-2020</w:t>
            </w:r>
          </w:p>
          <w:p w14:paraId="1792B014" w14:textId="77777777" w:rsidR="001B5D56" w:rsidRPr="00747E7A" w:rsidRDefault="001B5D56" w:rsidP="00747E7A">
            <w:pPr>
              <w:ind w:firstLine="0"/>
              <w:rPr>
                <w:sz w:val="20"/>
                <w:szCs w:val="20"/>
              </w:rPr>
            </w:pPr>
            <w:r w:rsidRPr="00747E7A">
              <w:rPr>
                <w:sz w:val="20"/>
                <w:szCs w:val="20"/>
              </w:rPr>
              <w:t>2021-2025</w:t>
            </w:r>
          </w:p>
          <w:p w14:paraId="6F707ED1" w14:textId="7179AFA0" w:rsidR="001B5D56" w:rsidRPr="00747E7A" w:rsidRDefault="001B5D56" w:rsidP="00747E7A">
            <w:pPr>
              <w:ind w:firstLine="0"/>
              <w:rPr>
                <w:sz w:val="20"/>
                <w:szCs w:val="20"/>
              </w:rPr>
            </w:pPr>
            <w:r w:rsidRPr="00747E7A">
              <w:rPr>
                <w:sz w:val="20"/>
                <w:szCs w:val="20"/>
              </w:rPr>
              <w:t>2026-2030</w:t>
            </w:r>
          </w:p>
        </w:tc>
        <w:tc>
          <w:tcPr>
            <w:tcW w:w="2845" w:type="dxa"/>
          </w:tcPr>
          <w:p w14:paraId="49BE150F" w14:textId="2CEE3AF4"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tcPr>
          <w:p w14:paraId="1C3AAC81" w14:textId="77777777" w:rsidR="001B5D56" w:rsidRPr="00747E7A" w:rsidRDefault="001B5D56" w:rsidP="00747E7A">
            <w:pPr>
              <w:ind w:firstLine="0"/>
              <w:rPr>
                <w:sz w:val="20"/>
                <w:szCs w:val="20"/>
              </w:rPr>
            </w:pPr>
          </w:p>
        </w:tc>
      </w:tr>
      <w:tr w:rsidR="001B5D56" w:rsidRPr="00747E7A" w14:paraId="23E95B38" w14:textId="77777777" w:rsidTr="00FA0783">
        <w:trPr>
          <w:trHeight w:val="218"/>
        </w:trPr>
        <w:tc>
          <w:tcPr>
            <w:tcW w:w="3642" w:type="dxa"/>
            <w:vMerge/>
          </w:tcPr>
          <w:p w14:paraId="4883D70D" w14:textId="77777777" w:rsidR="001B5D56" w:rsidRPr="00747E7A" w:rsidRDefault="001B5D56" w:rsidP="00747E7A">
            <w:pPr>
              <w:ind w:firstLine="0"/>
              <w:rPr>
                <w:sz w:val="20"/>
                <w:szCs w:val="20"/>
              </w:rPr>
            </w:pPr>
          </w:p>
        </w:tc>
        <w:tc>
          <w:tcPr>
            <w:tcW w:w="3078" w:type="dxa"/>
          </w:tcPr>
          <w:p w14:paraId="04DDE1DF" w14:textId="06204C81" w:rsidR="001B5D56" w:rsidRPr="00747E7A" w:rsidRDefault="001B5D56" w:rsidP="00747E7A">
            <w:pPr>
              <w:ind w:firstLine="0"/>
              <w:rPr>
                <w:sz w:val="20"/>
                <w:szCs w:val="20"/>
              </w:rPr>
            </w:pPr>
            <w:r w:rsidRPr="00747E7A">
              <w:rPr>
                <w:sz w:val="20"/>
                <w:szCs w:val="20"/>
              </w:rPr>
              <w:t>Комплекс мероприятий по согласованию документов территориального планирования с федеральными и региональными ведомствами в целях изменения границ населенных пунктов и изменения категории земельных участков, необходимых для реализации проектов жилищного строительства</w:t>
            </w:r>
          </w:p>
        </w:tc>
        <w:tc>
          <w:tcPr>
            <w:tcW w:w="1484" w:type="dxa"/>
          </w:tcPr>
          <w:p w14:paraId="64538E73" w14:textId="77777777" w:rsidR="001B5D56" w:rsidRPr="00747E7A" w:rsidRDefault="001B5D56" w:rsidP="00747E7A">
            <w:pPr>
              <w:ind w:firstLine="0"/>
              <w:rPr>
                <w:sz w:val="20"/>
                <w:szCs w:val="20"/>
              </w:rPr>
            </w:pPr>
            <w:r w:rsidRPr="00747E7A">
              <w:rPr>
                <w:sz w:val="20"/>
                <w:szCs w:val="20"/>
              </w:rPr>
              <w:t>2018-2020</w:t>
            </w:r>
          </w:p>
          <w:p w14:paraId="748CBF65" w14:textId="77777777" w:rsidR="001B5D56" w:rsidRPr="00747E7A" w:rsidRDefault="001B5D56" w:rsidP="00747E7A">
            <w:pPr>
              <w:ind w:firstLine="0"/>
              <w:rPr>
                <w:sz w:val="20"/>
                <w:szCs w:val="20"/>
              </w:rPr>
            </w:pPr>
            <w:r w:rsidRPr="00747E7A">
              <w:rPr>
                <w:sz w:val="20"/>
                <w:szCs w:val="20"/>
              </w:rPr>
              <w:t>2021-2025</w:t>
            </w:r>
          </w:p>
          <w:p w14:paraId="4F2EDAD0" w14:textId="56977BED" w:rsidR="001B5D56" w:rsidRPr="00747E7A" w:rsidRDefault="001B5D56" w:rsidP="00747E7A">
            <w:pPr>
              <w:ind w:firstLine="0"/>
              <w:rPr>
                <w:sz w:val="20"/>
                <w:szCs w:val="20"/>
              </w:rPr>
            </w:pPr>
            <w:r w:rsidRPr="00747E7A">
              <w:rPr>
                <w:sz w:val="20"/>
                <w:szCs w:val="20"/>
              </w:rPr>
              <w:t>2026-2030</w:t>
            </w:r>
          </w:p>
        </w:tc>
        <w:tc>
          <w:tcPr>
            <w:tcW w:w="2845" w:type="dxa"/>
          </w:tcPr>
          <w:p w14:paraId="538D3D3F" w14:textId="4A586AB9"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6C737200" w14:textId="77777777" w:rsidR="001B5D56" w:rsidRPr="00747E7A" w:rsidRDefault="001B5D56" w:rsidP="00747E7A">
            <w:pPr>
              <w:ind w:firstLine="0"/>
              <w:rPr>
                <w:sz w:val="20"/>
                <w:szCs w:val="20"/>
              </w:rPr>
            </w:pPr>
          </w:p>
        </w:tc>
      </w:tr>
      <w:tr w:rsidR="001B5D56" w:rsidRPr="00747E7A" w14:paraId="11882C91" w14:textId="77777777" w:rsidTr="00FA0783">
        <w:trPr>
          <w:trHeight w:val="218"/>
        </w:trPr>
        <w:tc>
          <w:tcPr>
            <w:tcW w:w="3642" w:type="dxa"/>
            <w:vMerge/>
          </w:tcPr>
          <w:p w14:paraId="6A71993C" w14:textId="77777777" w:rsidR="001B5D56" w:rsidRPr="00747E7A" w:rsidRDefault="001B5D56" w:rsidP="00747E7A">
            <w:pPr>
              <w:ind w:firstLine="0"/>
              <w:rPr>
                <w:sz w:val="20"/>
                <w:szCs w:val="20"/>
              </w:rPr>
            </w:pPr>
          </w:p>
        </w:tc>
        <w:tc>
          <w:tcPr>
            <w:tcW w:w="3078" w:type="dxa"/>
          </w:tcPr>
          <w:p w14:paraId="23108836" w14:textId="05107DFD" w:rsidR="001B5D56" w:rsidRPr="00747E7A" w:rsidRDefault="001B5D56" w:rsidP="00747E7A">
            <w:pPr>
              <w:ind w:firstLine="0"/>
              <w:rPr>
                <w:sz w:val="20"/>
                <w:szCs w:val="20"/>
              </w:rPr>
            </w:pPr>
            <w:r w:rsidRPr="00747E7A">
              <w:rPr>
                <w:sz w:val="20"/>
                <w:szCs w:val="20"/>
              </w:rPr>
              <w:t>Комплекс мероприятий по повышению уровня благоустройства дворовых территорий и мест общего пользования</w:t>
            </w:r>
          </w:p>
        </w:tc>
        <w:tc>
          <w:tcPr>
            <w:tcW w:w="1484" w:type="dxa"/>
          </w:tcPr>
          <w:p w14:paraId="0C7A2538" w14:textId="77777777" w:rsidR="001B5D56" w:rsidRPr="00747E7A" w:rsidRDefault="001B5D56" w:rsidP="00747E7A">
            <w:pPr>
              <w:ind w:firstLine="0"/>
              <w:rPr>
                <w:sz w:val="20"/>
                <w:szCs w:val="20"/>
              </w:rPr>
            </w:pPr>
            <w:r w:rsidRPr="00747E7A">
              <w:rPr>
                <w:sz w:val="20"/>
                <w:szCs w:val="20"/>
              </w:rPr>
              <w:t>2018-2020</w:t>
            </w:r>
          </w:p>
          <w:p w14:paraId="44F27AF5" w14:textId="77777777" w:rsidR="001B5D56" w:rsidRPr="00747E7A" w:rsidRDefault="001B5D56" w:rsidP="00747E7A">
            <w:pPr>
              <w:ind w:firstLine="0"/>
              <w:rPr>
                <w:sz w:val="20"/>
                <w:szCs w:val="20"/>
              </w:rPr>
            </w:pPr>
            <w:r w:rsidRPr="00747E7A">
              <w:rPr>
                <w:sz w:val="20"/>
                <w:szCs w:val="20"/>
              </w:rPr>
              <w:t>2021-2025</w:t>
            </w:r>
          </w:p>
          <w:p w14:paraId="4C464B4B" w14:textId="2563E9E3" w:rsidR="001B5D56" w:rsidRPr="00747E7A" w:rsidRDefault="001B5D56" w:rsidP="00747E7A">
            <w:pPr>
              <w:ind w:firstLine="0"/>
              <w:rPr>
                <w:sz w:val="20"/>
                <w:szCs w:val="20"/>
              </w:rPr>
            </w:pPr>
            <w:r w:rsidRPr="00747E7A">
              <w:rPr>
                <w:sz w:val="20"/>
                <w:szCs w:val="20"/>
              </w:rPr>
              <w:t>2026-2030</w:t>
            </w:r>
          </w:p>
        </w:tc>
        <w:tc>
          <w:tcPr>
            <w:tcW w:w="2845" w:type="dxa"/>
          </w:tcPr>
          <w:p w14:paraId="3FC3679E" w14:textId="3D030B02"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466AFD67" w14:textId="77777777" w:rsidR="001B5D56" w:rsidRPr="00747E7A" w:rsidRDefault="001B5D56" w:rsidP="00747E7A">
            <w:pPr>
              <w:ind w:firstLine="0"/>
              <w:rPr>
                <w:sz w:val="20"/>
                <w:szCs w:val="20"/>
              </w:rPr>
            </w:pPr>
          </w:p>
        </w:tc>
      </w:tr>
      <w:tr w:rsidR="001B5D56" w:rsidRPr="00747E7A" w14:paraId="58614C6C" w14:textId="77777777" w:rsidTr="00FA0783">
        <w:trPr>
          <w:trHeight w:val="218"/>
        </w:trPr>
        <w:tc>
          <w:tcPr>
            <w:tcW w:w="3642" w:type="dxa"/>
            <w:vMerge/>
          </w:tcPr>
          <w:p w14:paraId="1236A069" w14:textId="77777777" w:rsidR="001B5D56" w:rsidRPr="00747E7A" w:rsidRDefault="001B5D56" w:rsidP="00747E7A">
            <w:pPr>
              <w:ind w:firstLine="0"/>
              <w:rPr>
                <w:sz w:val="20"/>
                <w:szCs w:val="20"/>
              </w:rPr>
            </w:pPr>
          </w:p>
        </w:tc>
        <w:tc>
          <w:tcPr>
            <w:tcW w:w="3078" w:type="dxa"/>
          </w:tcPr>
          <w:p w14:paraId="54B4A041" w14:textId="19F476C4" w:rsidR="001B5D56" w:rsidRPr="00747E7A" w:rsidRDefault="001B5D56" w:rsidP="00747E7A">
            <w:pPr>
              <w:ind w:firstLine="0"/>
              <w:rPr>
                <w:sz w:val="20"/>
                <w:szCs w:val="20"/>
              </w:rPr>
            </w:pPr>
            <w:r w:rsidRPr="00747E7A">
              <w:rPr>
                <w:sz w:val="20"/>
                <w:szCs w:val="20"/>
              </w:rPr>
              <w:t xml:space="preserve">Комплекс мероприятий по </w:t>
            </w:r>
            <w:r w:rsidRPr="00747E7A">
              <w:rPr>
                <w:sz w:val="20"/>
                <w:szCs w:val="20"/>
              </w:rPr>
              <w:lastRenderedPageBreak/>
              <w:t>повышению энергетической эффективности в бюджетной сфере</w:t>
            </w:r>
          </w:p>
        </w:tc>
        <w:tc>
          <w:tcPr>
            <w:tcW w:w="1484" w:type="dxa"/>
          </w:tcPr>
          <w:p w14:paraId="64BE0230" w14:textId="77777777" w:rsidR="001B5D56" w:rsidRPr="00747E7A" w:rsidRDefault="001B5D56" w:rsidP="00747E7A">
            <w:pPr>
              <w:ind w:firstLine="0"/>
              <w:rPr>
                <w:sz w:val="20"/>
                <w:szCs w:val="20"/>
              </w:rPr>
            </w:pPr>
            <w:r w:rsidRPr="00747E7A">
              <w:rPr>
                <w:sz w:val="20"/>
                <w:szCs w:val="20"/>
              </w:rPr>
              <w:lastRenderedPageBreak/>
              <w:t>2018-2020</w:t>
            </w:r>
          </w:p>
          <w:p w14:paraId="6866DCE0" w14:textId="77777777" w:rsidR="001B5D56" w:rsidRPr="00747E7A" w:rsidRDefault="001B5D56" w:rsidP="00747E7A">
            <w:pPr>
              <w:ind w:firstLine="0"/>
              <w:rPr>
                <w:sz w:val="20"/>
                <w:szCs w:val="20"/>
              </w:rPr>
            </w:pPr>
            <w:r w:rsidRPr="00747E7A">
              <w:rPr>
                <w:sz w:val="20"/>
                <w:szCs w:val="20"/>
              </w:rPr>
              <w:lastRenderedPageBreak/>
              <w:t>2021-2025</w:t>
            </w:r>
          </w:p>
          <w:p w14:paraId="3074BBB9" w14:textId="4D347DBA" w:rsidR="001B5D56" w:rsidRPr="00747E7A" w:rsidRDefault="001B5D56" w:rsidP="00747E7A">
            <w:pPr>
              <w:ind w:firstLine="0"/>
              <w:rPr>
                <w:sz w:val="20"/>
                <w:szCs w:val="20"/>
              </w:rPr>
            </w:pPr>
            <w:r w:rsidRPr="00747E7A">
              <w:rPr>
                <w:sz w:val="20"/>
                <w:szCs w:val="20"/>
              </w:rPr>
              <w:t>2026-2030</w:t>
            </w:r>
          </w:p>
        </w:tc>
        <w:tc>
          <w:tcPr>
            <w:tcW w:w="2845" w:type="dxa"/>
          </w:tcPr>
          <w:p w14:paraId="09528772" w14:textId="38CA105D" w:rsidR="001B5D56" w:rsidRPr="00747E7A" w:rsidRDefault="001B5D56" w:rsidP="00114969">
            <w:pPr>
              <w:ind w:firstLine="0"/>
              <w:jc w:val="left"/>
              <w:rPr>
                <w:sz w:val="20"/>
                <w:szCs w:val="20"/>
              </w:rPr>
            </w:pPr>
            <w:r w:rsidRPr="00747E7A">
              <w:rPr>
                <w:sz w:val="20"/>
                <w:szCs w:val="20"/>
              </w:rPr>
              <w:lastRenderedPageBreak/>
              <w:t>районный бюджет</w:t>
            </w:r>
          </w:p>
        </w:tc>
        <w:tc>
          <w:tcPr>
            <w:tcW w:w="3577" w:type="dxa"/>
            <w:vMerge/>
          </w:tcPr>
          <w:p w14:paraId="3E22CEB8" w14:textId="77777777" w:rsidR="001B5D56" w:rsidRPr="00747E7A" w:rsidRDefault="001B5D56" w:rsidP="00747E7A">
            <w:pPr>
              <w:ind w:firstLine="0"/>
              <w:rPr>
                <w:sz w:val="20"/>
                <w:szCs w:val="20"/>
              </w:rPr>
            </w:pPr>
          </w:p>
        </w:tc>
      </w:tr>
      <w:tr w:rsidR="001B5D56" w:rsidRPr="00747E7A" w14:paraId="5B098A42" w14:textId="77777777" w:rsidTr="00FA0783">
        <w:trPr>
          <w:trHeight w:val="218"/>
        </w:trPr>
        <w:tc>
          <w:tcPr>
            <w:tcW w:w="3642" w:type="dxa"/>
            <w:vMerge/>
          </w:tcPr>
          <w:p w14:paraId="5F15210B" w14:textId="77777777" w:rsidR="001B5D56" w:rsidRPr="00747E7A" w:rsidRDefault="001B5D56" w:rsidP="00747E7A">
            <w:pPr>
              <w:ind w:firstLine="0"/>
              <w:rPr>
                <w:sz w:val="20"/>
                <w:szCs w:val="20"/>
              </w:rPr>
            </w:pPr>
          </w:p>
        </w:tc>
        <w:tc>
          <w:tcPr>
            <w:tcW w:w="3078" w:type="dxa"/>
          </w:tcPr>
          <w:p w14:paraId="48A19C4E" w14:textId="020E0009" w:rsidR="001B5D56" w:rsidRPr="00747E7A" w:rsidRDefault="001B5D56" w:rsidP="00747E7A">
            <w:pPr>
              <w:ind w:firstLine="0"/>
              <w:rPr>
                <w:sz w:val="20"/>
                <w:szCs w:val="20"/>
              </w:rPr>
            </w:pPr>
            <w:r w:rsidRPr="00747E7A">
              <w:rPr>
                <w:sz w:val="20"/>
                <w:szCs w:val="20"/>
              </w:rPr>
              <w:t>Комплекс мероприятий по повышению квалификации сотрудников ЖКХ</w:t>
            </w:r>
          </w:p>
        </w:tc>
        <w:tc>
          <w:tcPr>
            <w:tcW w:w="1484" w:type="dxa"/>
          </w:tcPr>
          <w:p w14:paraId="18EB855E" w14:textId="77777777" w:rsidR="001B5D56" w:rsidRPr="00747E7A" w:rsidRDefault="001B5D56" w:rsidP="00747E7A">
            <w:pPr>
              <w:ind w:firstLine="0"/>
              <w:rPr>
                <w:sz w:val="20"/>
                <w:szCs w:val="20"/>
              </w:rPr>
            </w:pPr>
            <w:r w:rsidRPr="00747E7A">
              <w:rPr>
                <w:sz w:val="20"/>
                <w:szCs w:val="20"/>
              </w:rPr>
              <w:t>2018-2020</w:t>
            </w:r>
          </w:p>
          <w:p w14:paraId="1E68318E" w14:textId="77777777" w:rsidR="001B5D56" w:rsidRPr="00747E7A" w:rsidRDefault="001B5D56" w:rsidP="00747E7A">
            <w:pPr>
              <w:ind w:firstLine="0"/>
              <w:rPr>
                <w:sz w:val="20"/>
                <w:szCs w:val="20"/>
              </w:rPr>
            </w:pPr>
            <w:r w:rsidRPr="00747E7A">
              <w:rPr>
                <w:sz w:val="20"/>
                <w:szCs w:val="20"/>
              </w:rPr>
              <w:t>2021-2025</w:t>
            </w:r>
          </w:p>
          <w:p w14:paraId="7AF63918" w14:textId="1E41D63A" w:rsidR="001B5D56" w:rsidRPr="00747E7A" w:rsidRDefault="001B5D56" w:rsidP="00747E7A">
            <w:pPr>
              <w:ind w:firstLine="0"/>
              <w:rPr>
                <w:sz w:val="20"/>
                <w:szCs w:val="20"/>
              </w:rPr>
            </w:pPr>
            <w:r w:rsidRPr="00747E7A">
              <w:rPr>
                <w:sz w:val="20"/>
                <w:szCs w:val="20"/>
              </w:rPr>
              <w:t>2026-2030</w:t>
            </w:r>
          </w:p>
        </w:tc>
        <w:tc>
          <w:tcPr>
            <w:tcW w:w="2845" w:type="dxa"/>
          </w:tcPr>
          <w:p w14:paraId="52F948FA" w14:textId="3AE281F3"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40717104" w14:textId="77777777" w:rsidR="001B5D56" w:rsidRPr="00747E7A" w:rsidRDefault="001B5D56" w:rsidP="00747E7A">
            <w:pPr>
              <w:ind w:firstLine="0"/>
              <w:rPr>
                <w:sz w:val="20"/>
                <w:szCs w:val="20"/>
              </w:rPr>
            </w:pPr>
          </w:p>
        </w:tc>
      </w:tr>
      <w:tr w:rsidR="001B5D56" w:rsidRPr="00747E7A" w14:paraId="2C165843" w14:textId="77777777" w:rsidTr="00FA0783">
        <w:trPr>
          <w:trHeight w:val="218"/>
        </w:trPr>
        <w:tc>
          <w:tcPr>
            <w:tcW w:w="3642" w:type="dxa"/>
            <w:vMerge w:val="restart"/>
          </w:tcPr>
          <w:p w14:paraId="10E636B1" w14:textId="6C74BCEB" w:rsidR="001B5D56" w:rsidRPr="00747E7A" w:rsidRDefault="001B5D56" w:rsidP="00747E7A">
            <w:pPr>
              <w:ind w:firstLine="0"/>
              <w:rPr>
                <w:sz w:val="20"/>
                <w:szCs w:val="20"/>
              </w:rPr>
            </w:pPr>
            <w:r w:rsidRPr="00747E7A">
              <w:rPr>
                <w:sz w:val="20"/>
                <w:szCs w:val="20"/>
              </w:rPr>
              <w:t>Направление «Обеспечение рационального природопользования и экологической безопасности»</w:t>
            </w:r>
          </w:p>
        </w:tc>
        <w:tc>
          <w:tcPr>
            <w:tcW w:w="3078" w:type="dxa"/>
          </w:tcPr>
          <w:p w14:paraId="6ACCD082" w14:textId="7D6B7B82" w:rsidR="001B5D56" w:rsidRPr="00747E7A" w:rsidRDefault="001B5D56" w:rsidP="00747E7A">
            <w:pPr>
              <w:ind w:firstLine="0"/>
              <w:rPr>
                <w:sz w:val="20"/>
                <w:szCs w:val="20"/>
              </w:rPr>
            </w:pPr>
            <w:r w:rsidRPr="00747E7A">
              <w:rPr>
                <w:sz w:val="20"/>
                <w:szCs w:val="20"/>
              </w:rPr>
              <w:t>Комплекс мероприятий по (утилизации) бытовых и промышленных отходов, приведению полигонов утилизации ТБО в соответствие с нормативными требованиями</w:t>
            </w:r>
          </w:p>
        </w:tc>
        <w:tc>
          <w:tcPr>
            <w:tcW w:w="1484" w:type="dxa"/>
          </w:tcPr>
          <w:p w14:paraId="71C8282D" w14:textId="77777777" w:rsidR="001B5D56" w:rsidRPr="00747E7A" w:rsidRDefault="001B5D56" w:rsidP="00747E7A">
            <w:pPr>
              <w:ind w:firstLine="0"/>
              <w:rPr>
                <w:sz w:val="20"/>
                <w:szCs w:val="20"/>
              </w:rPr>
            </w:pPr>
            <w:r w:rsidRPr="00747E7A">
              <w:rPr>
                <w:sz w:val="20"/>
                <w:szCs w:val="20"/>
              </w:rPr>
              <w:t>2018-2020</w:t>
            </w:r>
          </w:p>
          <w:p w14:paraId="26BA3DDC" w14:textId="77777777" w:rsidR="001B5D56" w:rsidRPr="00747E7A" w:rsidRDefault="001B5D56" w:rsidP="00747E7A">
            <w:pPr>
              <w:ind w:firstLine="0"/>
              <w:rPr>
                <w:sz w:val="20"/>
                <w:szCs w:val="20"/>
              </w:rPr>
            </w:pPr>
            <w:r w:rsidRPr="00747E7A">
              <w:rPr>
                <w:sz w:val="20"/>
                <w:szCs w:val="20"/>
              </w:rPr>
              <w:t>2021-2025</w:t>
            </w:r>
          </w:p>
          <w:p w14:paraId="4E67EB82" w14:textId="51E3EFF8" w:rsidR="001B5D56" w:rsidRPr="00747E7A" w:rsidRDefault="001B5D56" w:rsidP="00747E7A">
            <w:pPr>
              <w:ind w:firstLine="0"/>
              <w:rPr>
                <w:sz w:val="20"/>
                <w:szCs w:val="20"/>
              </w:rPr>
            </w:pPr>
            <w:r w:rsidRPr="00747E7A">
              <w:rPr>
                <w:sz w:val="20"/>
                <w:szCs w:val="20"/>
              </w:rPr>
              <w:t>2026-2030</w:t>
            </w:r>
          </w:p>
        </w:tc>
        <w:tc>
          <w:tcPr>
            <w:tcW w:w="2845" w:type="dxa"/>
          </w:tcPr>
          <w:p w14:paraId="03C2C3CE" w14:textId="114C3BA7" w:rsidR="001B5D56" w:rsidRPr="00747E7A" w:rsidRDefault="001B5D56" w:rsidP="00114969">
            <w:pPr>
              <w:ind w:firstLine="0"/>
              <w:jc w:val="left"/>
              <w:rPr>
                <w:sz w:val="20"/>
                <w:szCs w:val="20"/>
              </w:rPr>
            </w:pPr>
            <w:r w:rsidRPr="00747E7A">
              <w:rPr>
                <w:sz w:val="20"/>
                <w:szCs w:val="20"/>
              </w:rPr>
              <w:t>бюджет автономного округа, районный бюджет, внебюджетные средства</w:t>
            </w:r>
          </w:p>
        </w:tc>
        <w:tc>
          <w:tcPr>
            <w:tcW w:w="3577" w:type="dxa"/>
            <w:vMerge w:val="restart"/>
          </w:tcPr>
          <w:p w14:paraId="61DE66B0" w14:textId="1745BEE9" w:rsidR="001B5D56" w:rsidRPr="00747E7A" w:rsidRDefault="001B5D56" w:rsidP="00747E7A">
            <w:pPr>
              <w:ind w:firstLine="0"/>
              <w:rPr>
                <w:sz w:val="20"/>
                <w:szCs w:val="20"/>
              </w:rPr>
            </w:pPr>
            <w:r w:rsidRPr="00747E7A">
              <w:rPr>
                <w:sz w:val="20"/>
                <w:szCs w:val="20"/>
              </w:rPr>
              <w:t xml:space="preserve">Комитет по делам народов Севера, охраны окружающей среды и водных </w:t>
            </w:r>
            <w:r w:rsidRPr="00747E7A">
              <w:rPr>
                <w:sz w:val="20"/>
                <w:szCs w:val="20"/>
              </w:rPr>
              <w:br/>
              <w:t>ресурсов</w:t>
            </w:r>
          </w:p>
        </w:tc>
      </w:tr>
      <w:tr w:rsidR="001B5D56" w:rsidRPr="00747E7A" w14:paraId="334A3ECF" w14:textId="77777777" w:rsidTr="00FA0783">
        <w:trPr>
          <w:trHeight w:val="218"/>
        </w:trPr>
        <w:tc>
          <w:tcPr>
            <w:tcW w:w="3642" w:type="dxa"/>
            <w:vMerge/>
          </w:tcPr>
          <w:p w14:paraId="3BD62CDD" w14:textId="77777777" w:rsidR="001B5D56" w:rsidRPr="00747E7A" w:rsidRDefault="001B5D56" w:rsidP="00747E7A">
            <w:pPr>
              <w:ind w:firstLine="0"/>
              <w:rPr>
                <w:sz w:val="20"/>
                <w:szCs w:val="20"/>
              </w:rPr>
            </w:pPr>
          </w:p>
        </w:tc>
        <w:tc>
          <w:tcPr>
            <w:tcW w:w="3078" w:type="dxa"/>
          </w:tcPr>
          <w:p w14:paraId="2283EC2F" w14:textId="153C7032" w:rsidR="001B5D56" w:rsidRPr="00747E7A" w:rsidRDefault="001B5D56" w:rsidP="00747E7A">
            <w:pPr>
              <w:ind w:firstLine="0"/>
              <w:rPr>
                <w:sz w:val="20"/>
                <w:szCs w:val="20"/>
              </w:rPr>
            </w:pPr>
            <w:r w:rsidRPr="00747E7A">
              <w:rPr>
                <w:sz w:val="20"/>
                <w:szCs w:val="20"/>
              </w:rPr>
              <w:t>Комплекс мероприятий по организации раздельного (селективного) сбора мусора</w:t>
            </w:r>
          </w:p>
        </w:tc>
        <w:tc>
          <w:tcPr>
            <w:tcW w:w="1484" w:type="dxa"/>
          </w:tcPr>
          <w:p w14:paraId="3079EF23" w14:textId="77777777" w:rsidR="001B5D56" w:rsidRPr="00747E7A" w:rsidRDefault="001B5D56" w:rsidP="00747E7A">
            <w:pPr>
              <w:ind w:firstLine="0"/>
              <w:rPr>
                <w:sz w:val="20"/>
                <w:szCs w:val="20"/>
              </w:rPr>
            </w:pPr>
            <w:r w:rsidRPr="00747E7A">
              <w:rPr>
                <w:sz w:val="20"/>
                <w:szCs w:val="20"/>
              </w:rPr>
              <w:t>2018-2020</w:t>
            </w:r>
          </w:p>
          <w:p w14:paraId="50D7D6B9" w14:textId="77777777" w:rsidR="001B5D56" w:rsidRPr="00747E7A" w:rsidRDefault="001B5D56" w:rsidP="00747E7A">
            <w:pPr>
              <w:ind w:firstLine="0"/>
              <w:rPr>
                <w:sz w:val="20"/>
                <w:szCs w:val="20"/>
              </w:rPr>
            </w:pPr>
            <w:r w:rsidRPr="00747E7A">
              <w:rPr>
                <w:sz w:val="20"/>
                <w:szCs w:val="20"/>
              </w:rPr>
              <w:t>2021-2025</w:t>
            </w:r>
          </w:p>
          <w:p w14:paraId="3A089A78" w14:textId="03555C37" w:rsidR="001B5D56" w:rsidRPr="00747E7A" w:rsidRDefault="001B5D56" w:rsidP="00747E7A">
            <w:pPr>
              <w:ind w:firstLine="0"/>
              <w:rPr>
                <w:sz w:val="20"/>
                <w:szCs w:val="20"/>
              </w:rPr>
            </w:pPr>
            <w:r w:rsidRPr="00747E7A">
              <w:rPr>
                <w:sz w:val="20"/>
                <w:szCs w:val="20"/>
              </w:rPr>
              <w:t>2026-2030</w:t>
            </w:r>
          </w:p>
        </w:tc>
        <w:tc>
          <w:tcPr>
            <w:tcW w:w="2845" w:type="dxa"/>
          </w:tcPr>
          <w:p w14:paraId="771ACDCC" w14:textId="5E2399E1"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tcPr>
          <w:p w14:paraId="5A561401" w14:textId="77777777" w:rsidR="001B5D56" w:rsidRPr="00747E7A" w:rsidRDefault="001B5D56" w:rsidP="00747E7A">
            <w:pPr>
              <w:ind w:firstLine="0"/>
              <w:rPr>
                <w:sz w:val="20"/>
                <w:szCs w:val="20"/>
              </w:rPr>
            </w:pPr>
          </w:p>
        </w:tc>
      </w:tr>
      <w:tr w:rsidR="001B5D56" w:rsidRPr="00747E7A" w14:paraId="17C3849D" w14:textId="77777777" w:rsidTr="00FA0783">
        <w:trPr>
          <w:trHeight w:val="1462"/>
        </w:trPr>
        <w:tc>
          <w:tcPr>
            <w:tcW w:w="3642" w:type="dxa"/>
            <w:vMerge/>
          </w:tcPr>
          <w:p w14:paraId="472BA8A1" w14:textId="77777777" w:rsidR="001B5D56" w:rsidRPr="00747E7A" w:rsidRDefault="001B5D56" w:rsidP="00747E7A">
            <w:pPr>
              <w:ind w:firstLine="0"/>
              <w:rPr>
                <w:sz w:val="20"/>
                <w:szCs w:val="20"/>
              </w:rPr>
            </w:pPr>
          </w:p>
        </w:tc>
        <w:tc>
          <w:tcPr>
            <w:tcW w:w="3078" w:type="dxa"/>
          </w:tcPr>
          <w:p w14:paraId="70F10F70" w14:textId="6D17482D" w:rsidR="001B5D56" w:rsidRPr="00747E7A" w:rsidRDefault="001B5D56" w:rsidP="00747E7A">
            <w:pPr>
              <w:ind w:firstLine="0"/>
              <w:rPr>
                <w:sz w:val="20"/>
                <w:szCs w:val="20"/>
              </w:rPr>
            </w:pPr>
            <w:r w:rsidRPr="00747E7A">
              <w:rPr>
                <w:sz w:val="20"/>
                <w:szCs w:val="20"/>
              </w:rPr>
              <w:t>Комплекс мероприятий по развитию системы экологического образования и повышению экологической культуры населения (проведение экологических акций)</w:t>
            </w:r>
          </w:p>
        </w:tc>
        <w:tc>
          <w:tcPr>
            <w:tcW w:w="1484" w:type="dxa"/>
          </w:tcPr>
          <w:p w14:paraId="7CBF57C2" w14:textId="77777777" w:rsidR="001B5D56" w:rsidRPr="00747E7A" w:rsidRDefault="001B5D56" w:rsidP="00747E7A">
            <w:pPr>
              <w:ind w:firstLine="0"/>
              <w:rPr>
                <w:sz w:val="20"/>
                <w:szCs w:val="20"/>
              </w:rPr>
            </w:pPr>
            <w:r w:rsidRPr="00747E7A">
              <w:rPr>
                <w:sz w:val="20"/>
                <w:szCs w:val="20"/>
              </w:rPr>
              <w:t>2018-2020</w:t>
            </w:r>
          </w:p>
          <w:p w14:paraId="5396AD02" w14:textId="77777777" w:rsidR="001B5D56" w:rsidRPr="00747E7A" w:rsidRDefault="001B5D56" w:rsidP="00747E7A">
            <w:pPr>
              <w:ind w:firstLine="0"/>
              <w:rPr>
                <w:sz w:val="20"/>
                <w:szCs w:val="20"/>
              </w:rPr>
            </w:pPr>
            <w:r w:rsidRPr="00747E7A">
              <w:rPr>
                <w:sz w:val="20"/>
                <w:szCs w:val="20"/>
              </w:rPr>
              <w:t>2021-2025</w:t>
            </w:r>
          </w:p>
          <w:p w14:paraId="6AEA2B8E" w14:textId="5677F620" w:rsidR="001B5D56" w:rsidRPr="00747E7A" w:rsidRDefault="001B5D56" w:rsidP="00747E7A">
            <w:pPr>
              <w:ind w:firstLine="0"/>
              <w:rPr>
                <w:sz w:val="20"/>
                <w:szCs w:val="20"/>
              </w:rPr>
            </w:pPr>
            <w:r w:rsidRPr="00747E7A">
              <w:rPr>
                <w:sz w:val="20"/>
                <w:szCs w:val="20"/>
              </w:rPr>
              <w:t>2026-2030</w:t>
            </w:r>
          </w:p>
        </w:tc>
        <w:tc>
          <w:tcPr>
            <w:tcW w:w="2845" w:type="dxa"/>
          </w:tcPr>
          <w:p w14:paraId="3495C7C5" w14:textId="6495B3E7"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tcPr>
          <w:p w14:paraId="711D9AAB" w14:textId="77777777" w:rsidR="001B5D56" w:rsidRPr="00747E7A" w:rsidRDefault="001B5D56" w:rsidP="00747E7A">
            <w:pPr>
              <w:ind w:firstLine="0"/>
              <w:rPr>
                <w:sz w:val="20"/>
                <w:szCs w:val="20"/>
              </w:rPr>
            </w:pPr>
          </w:p>
        </w:tc>
      </w:tr>
      <w:tr w:rsidR="001B5D56" w:rsidRPr="00747E7A" w14:paraId="5C7FD44B" w14:textId="77777777" w:rsidTr="00FA0783">
        <w:trPr>
          <w:trHeight w:val="218"/>
        </w:trPr>
        <w:tc>
          <w:tcPr>
            <w:tcW w:w="3642" w:type="dxa"/>
            <w:vMerge/>
          </w:tcPr>
          <w:p w14:paraId="260EDBD3" w14:textId="77777777" w:rsidR="001B5D56" w:rsidRPr="00747E7A" w:rsidRDefault="001B5D56" w:rsidP="00747E7A">
            <w:pPr>
              <w:ind w:firstLine="0"/>
              <w:rPr>
                <w:sz w:val="20"/>
                <w:szCs w:val="20"/>
              </w:rPr>
            </w:pPr>
          </w:p>
        </w:tc>
        <w:tc>
          <w:tcPr>
            <w:tcW w:w="3078" w:type="dxa"/>
          </w:tcPr>
          <w:p w14:paraId="2313F1EA" w14:textId="7411E1FB" w:rsidR="001B5D56" w:rsidRPr="00747E7A" w:rsidRDefault="001B5D56" w:rsidP="00747E7A">
            <w:pPr>
              <w:ind w:firstLine="0"/>
              <w:rPr>
                <w:sz w:val="20"/>
                <w:szCs w:val="20"/>
              </w:rPr>
            </w:pPr>
            <w:r w:rsidRPr="00747E7A">
              <w:rPr>
                <w:sz w:val="20"/>
                <w:szCs w:val="20"/>
              </w:rPr>
              <w:t>Комплекс мероприятий по информационно-аналитическому обеспечению экологической безопасности</w:t>
            </w:r>
          </w:p>
        </w:tc>
        <w:tc>
          <w:tcPr>
            <w:tcW w:w="1484" w:type="dxa"/>
          </w:tcPr>
          <w:p w14:paraId="5329FFA4" w14:textId="77777777" w:rsidR="001B5D56" w:rsidRPr="00747E7A" w:rsidRDefault="001B5D56" w:rsidP="00747E7A">
            <w:pPr>
              <w:ind w:firstLine="0"/>
              <w:rPr>
                <w:sz w:val="20"/>
                <w:szCs w:val="20"/>
              </w:rPr>
            </w:pPr>
            <w:r w:rsidRPr="00747E7A">
              <w:rPr>
                <w:sz w:val="20"/>
                <w:szCs w:val="20"/>
              </w:rPr>
              <w:t>2018-2020</w:t>
            </w:r>
          </w:p>
          <w:p w14:paraId="0D412480" w14:textId="77777777" w:rsidR="001B5D56" w:rsidRPr="00747E7A" w:rsidRDefault="001B5D56" w:rsidP="00747E7A">
            <w:pPr>
              <w:ind w:firstLine="0"/>
              <w:rPr>
                <w:sz w:val="20"/>
                <w:szCs w:val="20"/>
              </w:rPr>
            </w:pPr>
            <w:r w:rsidRPr="00747E7A">
              <w:rPr>
                <w:sz w:val="20"/>
                <w:szCs w:val="20"/>
              </w:rPr>
              <w:t>2021-2025</w:t>
            </w:r>
          </w:p>
          <w:p w14:paraId="4F3463B1" w14:textId="172207E3" w:rsidR="001B5D56" w:rsidRPr="00747E7A" w:rsidRDefault="001B5D56" w:rsidP="00747E7A">
            <w:pPr>
              <w:ind w:firstLine="0"/>
              <w:rPr>
                <w:sz w:val="20"/>
                <w:szCs w:val="20"/>
              </w:rPr>
            </w:pPr>
            <w:r w:rsidRPr="00747E7A">
              <w:rPr>
                <w:sz w:val="20"/>
                <w:szCs w:val="20"/>
              </w:rPr>
              <w:t>2026-2030</w:t>
            </w:r>
          </w:p>
        </w:tc>
        <w:tc>
          <w:tcPr>
            <w:tcW w:w="2845" w:type="dxa"/>
          </w:tcPr>
          <w:p w14:paraId="27E1544B" w14:textId="4267197C"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0A6B96AB" w14:textId="77777777" w:rsidR="001B5D56" w:rsidRPr="00747E7A" w:rsidRDefault="001B5D56" w:rsidP="00747E7A">
            <w:pPr>
              <w:ind w:firstLine="0"/>
              <w:rPr>
                <w:sz w:val="20"/>
                <w:szCs w:val="20"/>
              </w:rPr>
            </w:pPr>
          </w:p>
        </w:tc>
      </w:tr>
      <w:tr w:rsidR="001B5D56" w:rsidRPr="00747E7A" w14:paraId="4DDA777D" w14:textId="77777777" w:rsidTr="00114969">
        <w:trPr>
          <w:trHeight w:val="619"/>
        </w:trPr>
        <w:tc>
          <w:tcPr>
            <w:tcW w:w="3642" w:type="dxa"/>
            <w:vMerge w:val="restart"/>
          </w:tcPr>
          <w:p w14:paraId="46ABE634" w14:textId="15F57089" w:rsidR="001B5D56" w:rsidRPr="00747E7A" w:rsidRDefault="001B5D56" w:rsidP="00747E7A">
            <w:pPr>
              <w:ind w:firstLine="0"/>
              <w:rPr>
                <w:sz w:val="20"/>
                <w:szCs w:val="20"/>
              </w:rPr>
            </w:pPr>
            <w:r w:rsidRPr="00747E7A">
              <w:rPr>
                <w:sz w:val="20"/>
                <w:szCs w:val="20"/>
              </w:rPr>
              <w:t>Направление «Пространственное развитие городского и сельских поселений Нефтеюганского района»</w:t>
            </w:r>
          </w:p>
        </w:tc>
        <w:tc>
          <w:tcPr>
            <w:tcW w:w="3078" w:type="dxa"/>
          </w:tcPr>
          <w:p w14:paraId="4BAB2F35" w14:textId="21C5BE3F" w:rsidR="001B5D56" w:rsidRPr="00747E7A" w:rsidRDefault="001B5D56" w:rsidP="00747E7A">
            <w:pPr>
              <w:ind w:firstLine="0"/>
              <w:rPr>
                <w:sz w:val="20"/>
                <w:szCs w:val="20"/>
              </w:rPr>
            </w:pPr>
            <w:r w:rsidRPr="00747E7A">
              <w:rPr>
                <w:sz w:val="20"/>
                <w:szCs w:val="20"/>
              </w:rPr>
              <w:t xml:space="preserve">Комплекс мероприятий по строительству новых и расширению пропускной способности существующих автомобильных дорог муниципального значения, оптимизация схемы транспортной доступности населенных пунктов, относящихся к труднодоступным и отдаленным </w:t>
            </w:r>
            <w:r w:rsidRPr="00747E7A">
              <w:rPr>
                <w:sz w:val="20"/>
                <w:szCs w:val="20"/>
              </w:rPr>
              <w:lastRenderedPageBreak/>
              <w:t>местностям</w:t>
            </w:r>
          </w:p>
        </w:tc>
        <w:tc>
          <w:tcPr>
            <w:tcW w:w="1484" w:type="dxa"/>
          </w:tcPr>
          <w:p w14:paraId="0F954A96" w14:textId="77777777" w:rsidR="001B5D56" w:rsidRPr="00747E7A" w:rsidRDefault="001B5D56" w:rsidP="00747E7A">
            <w:pPr>
              <w:ind w:firstLine="0"/>
              <w:rPr>
                <w:sz w:val="20"/>
                <w:szCs w:val="20"/>
              </w:rPr>
            </w:pPr>
            <w:r w:rsidRPr="00747E7A">
              <w:rPr>
                <w:sz w:val="20"/>
                <w:szCs w:val="20"/>
              </w:rPr>
              <w:lastRenderedPageBreak/>
              <w:t>2018-2020</w:t>
            </w:r>
          </w:p>
          <w:p w14:paraId="6D5B1C07" w14:textId="77777777" w:rsidR="001B5D56" w:rsidRPr="00747E7A" w:rsidRDefault="001B5D56" w:rsidP="00747E7A">
            <w:pPr>
              <w:ind w:firstLine="0"/>
              <w:rPr>
                <w:sz w:val="20"/>
                <w:szCs w:val="20"/>
              </w:rPr>
            </w:pPr>
            <w:r w:rsidRPr="00747E7A">
              <w:rPr>
                <w:sz w:val="20"/>
                <w:szCs w:val="20"/>
              </w:rPr>
              <w:t>2021-2025</w:t>
            </w:r>
          </w:p>
          <w:p w14:paraId="013EE7B0" w14:textId="5B4F39F1" w:rsidR="001B5D56" w:rsidRPr="00747E7A" w:rsidRDefault="001B5D56" w:rsidP="00747E7A">
            <w:pPr>
              <w:ind w:firstLine="0"/>
              <w:rPr>
                <w:sz w:val="20"/>
                <w:szCs w:val="20"/>
              </w:rPr>
            </w:pPr>
            <w:r w:rsidRPr="00747E7A">
              <w:rPr>
                <w:sz w:val="20"/>
                <w:szCs w:val="20"/>
              </w:rPr>
              <w:t>2026-2030</w:t>
            </w:r>
          </w:p>
        </w:tc>
        <w:tc>
          <w:tcPr>
            <w:tcW w:w="2845" w:type="dxa"/>
          </w:tcPr>
          <w:p w14:paraId="654AFFD6" w14:textId="67BA490F" w:rsidR="001B5D56" w:rsidRPr="00747E7A" w:rsidRDefault="001B5D56" w:rsidP="00114969">
            <w:pPr>
              <w:ind w:firstLine="0"/>
              <w:jc w:val="left"/>
              <w:rPr>
                <w:sz w:val="20"/>
                <w:szCs w:val="20"/>
              </w:rPr>
            </w:pPr>
            <w:r w:rsidRPr="00747E7A">
              <w:rPr>
                <w:sz w:val="20"/>
                <w:szCs w:val="20"/>
              </w:rPr>
              <w:t>бюджет автономного округа, районный бюджет</w:t>
            </w:r>
          </w:p>
        </w:tc>
        <w:tc>
          <w:tcPr>
            <w:tcW w:w="3577" w:type="dxa"/>
            <w:vMerge w:val="restart"/>
          </w:tcPr>
          <w:p w14:paraId="094597BA" w14:textId="7CF04002" w:rsidR="001B5D56" w:rsidRPr="00747E7A" w:rsidRDefault="001B5D56" w:rsidP="00747E7A">
            <w:pPr>
              <w:ind w:firstLine="0"/>
              <w:rPr>
                <w:sz w:val="20"/>
                <w:szCs w:val="20"/>
              </w:rPr>
            </w:pPr>
            <w:r w:rsidRPr="00747E7A">
              <w:rPr>
                <w:sz w:val="20"/>
                <w:szCs w:val="20"/>
              </w:rPr>
              <w:t>Департамент строительства и жилищно-коммунального комплекса Нефтеюганского района (отдел по транспорту и дорогам)</w:t>
            </w:r>
          </w:p>
        </w:tc>
      </w:tr>
      <w:tr w:rsidR="001B5D56" w:rsidRPr="00747E7A" w14:paraId="055026D8" w14:textId="77777777" w:rsidTr="00FA0783">
        <w:trPr>
          <w:trHeight w:val="1067"/>
        </w:trPr>
        <w:tc>
          <w:tcPr>
            <w:tcW w:w="3642" w:type="dxa"/>
            <w:vMerge/>
          </w:tcPr>
          <w:p w14:paraId="7A0FAF25" w14:textId="77777777" w:rsidR="001B5D56" w:rsidRPr="00747E7A" w:rsidRDefault="001B5D56" w:rsidP="00747E7A">
            <w:pPr>
              <w:ind w:firstLine="0"/>
              <w:rPr>
                <w:sz w:val="20"/>
                <w:szCs w:val="20"/>
              </w:rPr>
            </w:pPr>
          </w:p>
        </w:tc>
        <w:tc>
          <w:tcPr>
            <w:tcW w:w="3078" w:type="dxa"/>
          </w:tcPr>
          <w:p w14:paraId="46BF04F1" w14:textId="3D92A7BC" w:rsidR="001B5D56" w:rsidRPr="00747E7A" w:rsidRDefault="001B5D56" w:rsidP="00747E7A">
            <w:pPr>
              <w:ind w:firstLine="0"/>
              <w:rPr>
                <w:sz w:val="20"/>
                <w:szCs w:val="20"/>
              </w:rPr>
            </w:pPr>
            <w:r w:rsidRPr="00747E7A">
              <w:rPr>
                <w:sz w:val="20"/>
                <w:szCs w:val="20"/>
              </w:rPr>
              <w:t>Комплекс мероприятий по снижению износа автобусного парка транспортных организаций, осуществляющих перевозки пассажиров</w:t>
            </w:r>
          </w:p>
        </w:tc>
        <w:tc>
          <w:tcPr>
            <w:tcW w:w="1484" w:type="dxa"/>
          </w:tcPr>
          <w:p w14:paraId="096EC711" w14:textId="77777777" w:rsidR="001B5D56" w:rsidRPr="00747E7A" w:rsidRDefault="001B5D56" w:rsidP="00747E7A">
            <w:pPr>
              <w:ind w:firstLine="0"/>
              <w:rPr>
                <w:sz w:val="20"/>
                <w:szCs w:val="20"/>
              </w:rPr>
            </w:pPr>
            <w:r w:rsidRPr="00747E7A">
              <w:rPr>
                <w:sz w:val="20"/>
                <w:szCs w:val="20"/>
              </w:rPr>
              <w:t>2018-2020</w:t>
            </w:r>
          </w:p>
          <w:p w14:paraId="79D79BF5" w14:textId="77777777" w:rsidR="001B5D56" w:rsidRPr="00747E7A" w:rsidRDefault="001B5D56" w:rsidP="00747E7A">
            <w:pPr>
              <w:ind w:firstLine="0"/>
              <w:rPr>
                <w:sz w:val="20"/>
                <w:szCs w:val="20"/>
              </w:rPr>
            </w:pPr>
            <w:r w:rsidRPr="00747E7A">
              <w:rPr>
                <w:sz w:val="20"/>
                <w:szCs w:val="20"/>
              </w:rPr>
              <w:t>2021-2025</w:t>
            </w:r>
          </w:p>
          <w:p w14:paraId="292D7DF9" w14:textId="5F86FC77" w:rsidR="001B5D56" w:rsidRPr="00747E7A" w:rsidRDefault="001B5D56" w:rsidP="00747E7A">
            <w:pPr>
              <w:ind w:firstLine="0"/>
              <w:rPr>
                <w:sz w:val="20"/>
                <w:szCs w:val="20"/>
              </w:rPr>
            </w:pPr>
            <w:r w:rsidRPr="00747E7A">
              <w:rPr>
                <w:sz w:val="20"/>
                <w:szCs w:val="20"/>
              </w:rPr>
              <w:t>2026-2030</w:t>
            </w:r>
          </w:p>
        </w:tc>
        <w:tc>
          <w:tcPr>
            <w:tcW w:w="2845" w:type="dxa"/>
          </w:tcPr>
          <w:p w14:paraId="51468CED" w14:textId="218E5F39" w:rsidR="001B5D56" w:rsidRPr="00747E7A" w:rsidRDefault="001B5D56" w:rsidP="00114969">
            <w:pPr>
              <w:ind w:firstLine="0"/>
              <w:jc w:val="left"/>
              <w:rPr>
                <w:sz w:val="20"/>
                <w:szCs w:val="20"/>
              </w:rPr>
            </w:pPr>
            <w:r w:rsidRPr="00747E7A">
              <w:rPr>
                <w:sz w:val="20"/>
                <w:szCs w:val="20"/>
              </w:rPr>
              <w:t>районный бюджет, внебюджетные средства</w:t>
            </w:r>
          </w:p>
        </w:tc>
        <w:tc>
          <w:tcPr>
            <w:tcW w:w="3577" w:type="dxa"/>
            <w:vMerge/>
          </w:tcPr>
          <w:p w14:paraId="1A994747" w14:textId="77777777" w:rsidR="001B5D56" w:rsidRPr="00747E7A" w:rsidRDefault="001B5D56" w:rsidP="00747E7A">
            <w:pPr>
              <w:ind w:firstLine="0"/>
              <w:rPr>
                <w:sz w:val="20"/>
                <w:szCs w:val="20"/>
              </w:rPr>
            </w:pPr>
          </w:p>
        </w:tc>
      </w:tr>
      <w:tr w:rsidR="001B5D56" w:rsidRPr="00747E7A" w14:paraId="50BC6523" w14:textId="77777777" w:rsidTr="00FA0783">
        <w:trPr>
          <w:trHeight w:val="218"/>
        </w:trPr>
        <w:tc>
          <w:tcPr>
            <w:tcW w:w="3642" w:type="dxa"/>
            <w:vMerge/>
          </w:tcPr>
          <w:p w14:paraId="10041AE2" w14:textId="77777777" w:rsidR="001B5D56" w:rsidRPr="00747E7A" w:rsidRDefault="001B5D56" w:rsidP="00747E7A">
            <w:pPr>
              <w:ind w:firstLine="0"/>
              <w:rPr>
                <w:sz w:val="20"/>
                <w:szCs w:val="20"/>
              </w:rPr>
            </w:pPr>
          </w:p>
        </w:tc>
        <w:tc>
          <w:tcPr>
            <w:tcW w:w="3078" w:type="dxa"/>
          </w:tcPr>
          <w:p w14:paraId="088804B4" w14:textId="26474804" w:rsidR="001B5D56" w:rsidRPr="00747E7A" w:rsidRDefault="001B5D56" w:rsidP="00747E7A">
            <w:pPr>
              <w:ind w:firstLine="0"/>
              <w:rPr>
                <w:sz w:val="20"/>
                <w:szCs w:val="20"/>
              </w:rPr>
            </w:pPr>
            <w:r w:rsidRPr="00747E7A">
              <w:rPr>
                <w:sz w:val="20"/>
                <w:szCs w:val="20"/>
              </w:rPr>
              <w:t xml:space="preserve">Комплекс мероприятий по развитию придорожной инфраструктуры (станций ТО, АЗС, придорожных пунктов питания) </w:t>
            </w:r>
          </w:p>
        </w:tc>
        <w:tc>
          <w:tcPr>
            <w:tcW w:w="1484" w:type="dxa"/>
          </w:tcPr>
          <w:p w14:paraId="589041D0" w14:textId="77777777" w:rsidR="001B5D56" w:rsidRPr="00747E7A" w:rsidRDefault="001B5D56" w:rsidP="00747E7A">
            <w:pPr>
              <w:ind w:firstLine="0"/>
              <w:rPr>
                <w:sz w:val="20"/>
                <w:szCs w:val="20"/>
              </w:rPr>
            </w:pPr>
            <w:r w:rsidRPr="00747E7A">
              <w:rPr>
                <w:sz w:val="20"/>
                <w:szCs w:val="20"/>
              </w:rPr>
              <w:t>2018-2020</w:t>
            </w:r>
          </w:p>
          <w:p w14:paraId="3139A793" w14:textId="77777777" w:rsidR="001B5D56" w:rsidRPr="00747E7A" w:rsidRDefault="001B5D56" w:rsidP="00747E7A">
            <w:pPr>
              <w:ind w:firstLine="0"/>
              <w:rPr>
                <w:sz w:val="20"/>
                <w:szCs w:val="20"/>
              </w:rPr>
            </w:pPr>
            <w:r w:rsidRPr="00747E7A">
              <w:rPr>
                <w:sz w:val="20"/>
                <w:szCs w:val="20"/>
              </w:rPr>
              <w:t>2021-2025</w:t>
            </w:r>
          </w:p>
          <w:p w14:paraId="6529347F" w14:textId="0BDE722B" w:rsidR="001B5D56" w:rsidRPr="00747E7A" w:rsidRDefault="001B5D56" w:rsidP="00747E7A">
            <w:pPr>
              <w:ind w:firstLine="0"/>
              <w:rPr>
                <w:sz w:val="20"/>
                <w:szCs w:val="20"/>
              </w:rPr>
            </w:pPr>
            <w:r w:rsidRPr="00747E7A">
              <w:rPr>
                <w:sz w:val="20"/>
                <w:szCs w:val="20"/>
              </w:rPr>
              <w:t>2026-2030</w:t>
            </w:r>
          </w:p>
        </w:tc>
        <w:tc>
          <w:tcPr>
            <w:tcW w:w="2845" w:type="dxa"/>
          </w:tcPr>
          <w:p w14:paraId="78CFD46F" w14:textId="761A3850" w:rsidR="001B5D56" w:rsidRPr="00747E7A" w:rsidRDefault="001B5D56" w:rsidP="00114969">
            <w:pPr>
              <w:ind w:firstLine="0"/>
              <w:jc w:val="left"/>
              <w:rPr>
                <w:sz w:val="20"/>
                <w:szCs w:val="20"/>
              </w:rPr>
            </w:pPr>
            <w:r w:rsidRPr="00747E7A">
              <w:rPr>
                <w:sz w:val="20"/>
                <w:szCs w:val="20"/>
              </w:rPr>
              <w:t>внебюджетные средства</w:t>
            </w:r>
          </w:p>
        </w:tc>
        <w:tc>
          <w:tcPr>
            <w:tcW w:w="3577" w:type="dxa"/>
            <w:vMerge/>
          </w:tcPr>
          <w:p w14:paraId="5815A088" w14:textId="77777777" w:rsidR="001B5D56" w:rsidRPr="00747E7A" w:rsidRDefault="001B5D56" w:rsidP="00747E7A">
            <w:pPr>
              <w:ind w:firstLine="0"/>
              <w:rPr>
                <w:sz w:val="20"/>
                <w:szCs w:val="20"/>
              </w:rPr>
            </w:pPr>
          </w:p>
        </w:tc>
      </w:tr>
      <w:tr w:rsidR="001B5D56" w:rsidRPr="00747E7A" w14:paraId="48E76E7D" w14:textId="77777777" w:rsidTr="00FA0783">
        <w:trPr>
          <w:trHeight w:val="218"/>
        </w:trPr>
        <w:tc>
          <w:tcPr>
            <w:tcW w:w="3642" w:type="dxa"/>
            <w:vMerge/>
          </w:tcPr>
          <w:p w14:paraId="2ACC15A9" w14:textId="7B0D832E" w:rsidR="001B5D56" w:rsidRPr="00747E7A" w:rsidRDefault="001B5D56" w:rsidP="00747E7A">
            <w:pPr>
              <w:ind w:firstLine="0"/>
              <w:rPr>
                <w:sz w:val="20"/>
                <w:szCs w:val="20"/>
              </w:rPr>
            </w:pPr>
          </w:p>
        </w:tc>
        <w:tc>
          <w:tcPr>
            <w:tcW w:w="3078" w:type="dxa"/>
          </w:tcPr>
          <w:p w14:paraId="7267AE50" w14:textId="5EB6A324" w:rsidR="001B5D56" w:rsidRPr="00747E7A" w:rsidRDefault="001B5D56" w:rsidP="00747E7A">
            <w:pPr>
              <w:ind w:firstLine="0"/>
              <w:rPr>
                <w:sz w:val="20"/>
                <w:szCs w:val="20"/>
              </w:rPr>
            </w:pPr>
            <w:r w:rsidRPr="00747E7A">
              <w:rPr>
                <w:sz w:val="20"/>
                <w:szCs w:val="20"/>
              </w:rPr>
              <w:t>Комплекс мероприятий по строительству волоконно-оптических линий связи</w:t>
            </w:r>
          </w:p>
        </w:tc>
        <w:tc>
          <w:tcPr>
            <w:tcW w:w="1484" w:type="dxa"/>
          </w:tcPr>
          <w:p w14:paraId="6FCEA533" w14:textId="77777777" w:rsidR="001B5D56" w:rsidRPr="00747E7A" w:rsidRDefault="001B5D56" w:rsidP="00747E7A">
            <w:pPr>
              <w:ind w:firstLine="0"/>
              <w:rPr>
                <w:sz w:val="20"/>
                <w:szCs w:val="20"/>
              </w:rPr>
            </w:pPr>
            <w:r w:rsidRPr="00747E7A">
              <w:rPr>
                <w:sz w:val="20"/>
                <w:szCs w:val="20"/>
              </w:rPr>
              <w:t>2018-2020</w:t>
            </w:r>
          </w:p>
          <w:p w14:paraId="65A47D9A" w14:textId="77777777" w:rsidR="001B5D56" w:rsidRPr="00747E7A" w:rsidRDefault="001B5D56" w:rsidP="00747E7A">
            <w:pPr>
              <w:ind w:firstLine="0"/>
              <w:rPr>
                <w:sz w:val="20"/>
                <w:szCs w:val="20"/>
              </w:rPr>
            </w:pPr>
            <w:r w:rsidRPr="00747E7A">
              <w:rPr>
                <w:sz w:val="20"/>
                <w:szCs w:val="20"/>
              </w:rPr>
              <w:t>2021-2025</w:t>
            </w:r>
          </w:p>
          <w:p w14:paraId="0E971C91" w14:textId="72736252" w:rsidR="001B5D56" w:rsidRPr="00747E7A" w:rsidRDefault="001B5D56" w:rsidP="00747E7A">
            <w:pPr>
              <w:ind w:firstLine="0"/>
              <w:rPr>
                <w:sz w:val="20"/>
                <w:szCs w:val="20"/>
              </w:rPr>
            </w:pPr>
            <w:r w:rsidRPr="00747E7A">
              <w:rPr>
                <w:sz w:val="20"/>
                <w:szCs w:val="20"/>
              </w:rPr>
              <w:t>2026-2030</w:t>
            </w:r>
          </w:p>
        </w:tc>
        <w:tc>
          <w:tcPr>
            <w:tcW w:w="2845" w:type="dxa"/>
          </w:tcPr>
          <w:p w14:paraId="562F908F" w14:textId="78DAA931" w:rsidR="001B5D56" w:rsidRPr="00747E7A" w:rsidRDefault="001B5D56" w:rsidP="00114969">
            <w:pPr>
              <w:ind w:firstLine="0"/>
              <w:jc w:val="left"/>
              <w:rPr>
                <w:sz w:val="20"/>
                <w:szCs w:val="20"/>
              </w:rPr>
            </w:pPr>
            <w:r w:rsidRPr="00747E7A">
              <w:rPr>
                <w:sz w:val="20"/>
                <w:szCs w:val="20"/>
              </w:rPr>
              <w:t>бюджет автономного округа, районный бюджет</w:t>
            </w:r>
          </w:p>
        </w:tc>
        <w:tc>
          <w:tcPr>
            <w:tcW w:w="3577" w:type="dxa"/>
            <w:vMerge w:val="restart"/>
          </w:tcPr>
          <w:p w14:paraId="79C9AC64" w14:textId="708BA577" w:rsidR="001B5D56" w:rsidRPr="00747E7A" w:rsidRDefault="001B5D56" w:rsidP="00747E7A">
            <w:pPr>
              <w:ind w:firstLine="0"/>
              <w:rPr>
                <w:sz w:val="20"/>
                <w:szCs w:val="20"/>
              </w:rPr>
            </w:pPr>
            <w:r w:rsidRPr="00747E7A">
              <w:rPr>
                <w:sz w:val="20"/>
                <w:szCs w:val="20"/>
              </w:rPr>
              <w:t>Управление информационных технологий и административного реформирования</w:t>
            </w:r>
          </w:p>
        </w:tc>
      </w:tr>
      <w:tr w:rsidR="001B5D56" w:rsidRPr="00747E7A" w14:paraId="25B1D327" w14:textId="77777777" w:rsidTr="00FA0783">
        <w:trPr>
          <w:trHeight w:val="218"/>
        </w:trPr>
        <w:tc>
          <w:tcPr>
            <w:tcW w:w="3642" w:type="dxa"/>
            <w:vMerge/>
          </w:tcPr>
          <w:p w14:paraId="368DFBBD" w14:textId="77777777" w:rsidR="001B5D56" w:rsidRPr="00747E7A" w:rsidRDefault="001B5D56" w:rsidP="00747E7A">
            <w:pPr>
              <w:ind w:firstLine="0"/>
              <w:rPr>
                <w:sz w:val="20"/>
                <w:szCs w:val="20"/>
              </w:rPr>
            </w:pPr>
          </w:p>
        </w:tc>
        <w:tc>
          <w:tcPr>
            <w:tcW w:w="3078" w:type="dxa"/>
          </w:tcPr>
          <w:p w14:paraId="7FFF4504" w14:textId="1115A718" w:rsidR="001B5D56" w:rsidRPr="00747E7A" w:rsidRDefault="001B5D56" w:rsidP="00747E7A">
            <w:pPr>
              <w:ind w:firstLine="0"/>
              <w:rPr>
                <w:sz w:val="20"/>
                <w:szCs w:val="20"/>
              </w:rPr>
            </w:pPr>
            <w:r w:rsidRPr="00747E7A">
              <w:rPr>
                <w:sz w:val="20"/>
                <w:szCs w:val="20"/>
              </w:rPr>
              <w:t>Комплекс мероприятий по внедрению ИКТ в деятельность администрации района, развитие услуг электронного муниципалитета и предоставление муниципальных услуг в электронной форме</w:t>
            </w:r>
          </w:p>
        </w:tc>
        <w:tc>
          <w:tcPr>
            <w:tcW w:w="1484" w:type="dxa"/>
          </w:tcPr>
          <w:p w14:paraId="4F8FDAC6" w14:textId="77777777" w:rsidR="001B5D56" w:rsidRPr="00747E7A" w:rsidRDefault="001B5D56" w:rsidP="00747E7A">
            <w:pPr>
              <w:ind w:firstLine="0"/>
              <w:rPr>
                <w:sz w:val="20"/>
                <w:szCs w:val="20"/>
              </w:rPr>
            </w:pPr>
            <w:r w:rsidRPr="00747E7A">
              <w:rPr>
                <w:sz w:val="20"/>
                <w:szCs w:val="20"/>
              </w:rPr>
              <w:t>2018-2020</w:t>
            </w:r>
          </w:p>
          <w:p w14:paraId="5CC8C8DA" w14:textId="77777777" w:rsidR="001B5D56" w:rsidRPr="00747E7A" w:rsidRDefault="001B5D56" w:rsidP="00747E7A">
            <w:pPr>
              <w:ind w:firstLine="0"/>
              <w:rPr>
                <w:sz w:val="20"/>
                <w:szCs w:val="20"/>
              </w:rPr>
            </w:pPr>
            <w:r w:rsidRPr="00747E7A">
              <w:rPr>
                <w:sz w:val="20"/>
                <w:szCs w:val="20"/>
              </w:rPr>
              <w:t>2021-2025</w:t>
            </w:r>
          </w:p>
          <w:p w14:paraId="7F07B5F7" w14:textId="1DCE34C1" w:rsidR="001B5D56" w:rsidRPr="00747E7A" w:rsidRDefault="001B5D56" w:rsidP="00747E7A">
            <w:pPr>
              <w:ind w:firstLine="0"/>
              <w:rPr>
                <w:sz w:val="20"/>
                <w:szCs w:val="20"/>
              </w:rPr>
            </w:pPr>
            <w:r w:rsidRPr="00747E7A">
              <w:rPr>
                <w:sz w:val="20"/>
                <w:szCs w:val="20"/>
              </w:rPr>
              <w:t>2026-2030</w:t>
            </w:r>
          </w:p>
        </w:tc>
        <w:tc>
          <w:tcPr>
            <w:tcW w:w="2845" w:type="dxa"/>
          </w:tcPr>
          <w:p w14:paraId="65DCCD53" w14:textId="36411688" w:rsidR="001B5D56" w:rsidRPr="00747E7A" w:rsidRDefault="001B5D56" w:rsidP="00114969">
            <w:pPr>
              <w:ind w:firstLine="0"/>
              <w:jc w:val="left"/>
              <w:rPr>
                <w:sz w:val="20"/>
                <w:szCs w:val="20"/>
              </w:rPr>
            </w:pPr>
            <w:r w:rsidRPr="00747E7A">
              <w:rPr>
                <w:sz w:val="20"/>
                <w:szCs w:val="20"/>
              </w:rPr>
              <w:t>районный бюджет</w:t>
            </w:r>
          </w:p>
        </w:tc>
        <w:tc>
          <w:tcPr>
            <w:tcW w:w="3577" w:type="dxa"/>
            <w:vMerge/>
          </w:tcPr>
          <w:p w14:paraId="62BDC816" w14:textId="77777777" w:rsidR="001B5D56" w:rsidRPr="00747E7A" w:rsidRDefault="001B5D56" w:rsidP="00747E7A">
            <w:pPr>
              <w:ind w:firstLine="0"/>
              <w:rPr>
                <w:sz w:val="20"/>
                <w:szCs w:val="20"/>
              </w:rPr>
            </w:pPr>
          </w:p>
        </w:tc>
      </w:tr>
    </w:tbl>
    <w:p w14:paraId="5E307EA3" w14:textId="77777777" w:rsidR="008B3F4F" w:rsidRDefault="008B3F4F" w:rsidP="00A93D7F"/>
    <w:p w14:paraId="536A47D6" w14:textId="77777777" w:rsidR="00754A26" w:rsidRDefault="00754A26" w:rsidP="00A93D7F"/>
    <w:p w14:paraId="124D4E26" w14:textId="77777777" w:rsidR="00754A26" w:rsidRDefault="00754A26" w:rsidP="00A93D7F"/>
    <w:p w14:paraId="202CE071" w14:textId="77777777" w:rsidR="00754A26" w:rsidRPr="00D668AA" w:rsidRDefault="00754A26" w:rsidP="00A93D7F">
      <w:pPr>
        <w:sectPr w:rsidR="00754A26" w:rsidRPr="00D668AA" w:rsidSect="00721B6F">
          <w:pgSz w:w="16840" w:h="11900" w:orient="landscape"/>
          <w:pgMar w:top="1701" w:right="1134" w:bottom="850" w:left="1134" w:header="708" w:footer="708" w:gutter="0"/>
          <w:cols w:space="708"/>
          <w:docGrid w:linePitch="360"/>
        </w:sectPr>
      </w:pPr>
    </w:p>
    <w:p w14:paraId="0EFCA23F" w14:textId="4563931A" w:rsidR="006F698B" w:rsidRDefault="0019684C" w:rsidP="00A93D7F">
      <w:pPr>
        <w:pStyle w:val="1"/>
      </w:pPr>
      <w:bookmarkStart w:id="54" w:name="_Toc503913886"/>
      <w:bookmarkStart w:id="55" w:name="_Toc504055126"/>
      <w:r w:rsidRPr="00820FF9">
        <w:lastRenderedPageBreak/>
        <w:t>О</w:t>
      </w:r>
      <w:r>
        <w:t>ЦЕНКА</w:t>
      </w:r>
      <w:r w:rsidRPr="00820FF9">
        <w:t xml:space="preserve"> ФИНАНСОВЫХ РЕСУРСОВ, НЕОБХОДИМЫХ ДЛЯ РЕАЛИЗАЦИИ СТРАТЕГИИ</w:t>
      </w:r>
      <w:bookmarkEnd w:id="54"/>
      <w:bookmarkEnd w:id="55"/>
    </w:p>
    <w:p w14:paraId="31C0404B" w14:textId="77777777" w:rsidR="00CB7741" w:rsidRDefault="00CB7741" w:rsidP="00A93D7F"/>
    <w:p w14:paraId="696A6A10" w14:textId="296D45DE" w:rsidR="008D0E15" w:rsidRPr="00543AC0" w:rsidRDefault="008D0E15" w:rsidP="00A93D7F">
      <w:r w:rsidRPr="00543AC0">
        <w:t>Финансиров</w:t>
      </w:r>
      <w:r w:rsidR="0085772F">
        <w:t>ание реализации Стратегии</w:t>
      </w:r>
      <w:r w:rsidRPr="00543AC0">
        <w:t xml:space="preserve"> будет осуществляться за счет средств федерального, регионального и местных бюджетов, а также внебюджетных источников. Предусмотрено прямое бюджетное финансирование проектов Стратегии в соответствии с мероприятиями муниципальных программ, реализацией проектов на условиях </w:t>
      </w:r>
      <w:r w:rsidRPr="00543AC0">
        <w:rPr>
          <w:rFonts w:eastAsia="Calibri"/>
          <w:lang w:val="x-none"/>
        </w:rPr>
        <w:t>муниципально-частно</w:t>
      </w:r>
      <w:r w:rsidR="00476421" w:rsidRPr="00543AC0">
        <w:rPr>
          <w:rFonts w:eastAsia="Calibri"/>
          <w:lang w:val="x-none"/>
        </w:rPr>
        <w:t>го</w:t>
      </w:r>
      <w:r w:rsidRPr="00543AC0">
        <w:rPr>
          <w:rFonts w:eastAsia="Calibri"/>
          <w:lang w:val="x-none"/>
        </w:rPr>
        <w:t xml:space="preserve"> партнерств</w:t>
      </w:r>
      <w:r w:rsidR="00476421" w:rsidRPr="00543AC0">
        <w:rPr>
          <w:rFonts w:eastAsia="Calibri"/>
        </w:rPr>
        <w:t>а</w:t>
      </w:r>
      <w:r w:rsidRPr="00543AC0">
        <w:rPr>
          <w:rFonts w:eastAsia="Calibri"/>
        </w:rPr>
        <w:t xml:space="preserve"> с </w:t>
      </w:r>
      <w:r w:rsidRPr="00543AC0">
        <w:t>привлечением средств предприятий и организаций,</w:t>
      </w:r>
      <w:r w:rsidRPr="00543AC0">
        <w:rPr>
          <w:rFonts w:eastAsia="Calibri"/>
        </w:rPr>
        <w:t xml:space="preserve"> п</w:t>
      </w:r>
      <w:r w:rsidRPr="00543AC0">
        <w:rPr>
          <w:rFonts w:eastAsia="Calibri"/>
          <w:lang w:val="x-none"/>
        </w:rPr>
        <w:t>ред</w:t>
      </w:r>
      <w:r w:rsidRPr="00543AC0">
        <w:rPr>
          <w:rFonts w:eastAsia="Calibri"/>
        </w:rPr>
        <w:t>о</w:t>
      </w:r>
      <w:r w:rsidRPr="00543AC0">
        <w:rPr>
          <w:rFonts w:eastAsia="Calibri"/>
          <w:lang w:val="x-none"/>
        </w:rPr>
        <w:t>ставление</w:t>
      </w:r>
      <w:r w:rsidRPr="00543AC0">
        <w:rPr>
          <w:rFonts w:eastAsia="Calibri"/>
        </w:rPr>
        <w:t>м</w:t>
      </w:r>
      <w:r w:rsidRPr="00543AC0">
        <w:rPr>
          <w:rFonts w:eastAsia="Calibri"/>
          <w:lang w:val="x-none"/>
        </w:rPr>
        <w:t xml:space="preserve"> налоговых льгот</w:t>
      </w:r>
      <w:r w:rsidRPr="00543AC0">
        <w:rPr>
          <w:rFonts w:eastAsia="Calibri"/>
        </w:rPr>
        <w:t xml:space="preserve"> организациям, реализующим инвестиционные проекты в приоритетных сфе</w:t>
      </w:r>
      <w:r w:rsidR="00250AA0" w:rsidRPr="00543AC0">
        <w:rPr>
          <w:rFonts w:eastAsia="Calibri"/>
        </w:rPr>
        <w:t>рах экономической деятельности</w:t>
      </w:r>
      <w:r w:rsidRPr="00543AC0">
        <w:t xml:space="preserve">, привлечением </w:t>
      </w:r>
      <w:r w:rsidR="00250AA0" w:rsidRPr="00543AC0">
        <w:t>средств заемного финансирования</w:t>
      </w:r>
      <w:r w:rsidRPr="00543AC0">
        <w:t xml:space="preserve">. </w:t>
      </w:r>
    </w:p>
    <w:p w14:paraId="442AC726" w14:textId="7AF40EA1" w:rsidR="00CB7741" w:rsidRPr="00026195" w:rsidRDefault="00254F62" w:rsidP="00A93D7F">
      <w:r w:rsidRPr="00543AC0">
        <w:t xml:space="preserve">На условиях </w:t>
      </w:r>
      <w:r w:rsidRPr="00543AC0">
        <w:rPr>
          <w:rFonts w:eastAsia="Calibri"/>
          <w:lang w:val="x-none"/>
        </w:rPr>
        <w:t>муниципально</w:t>
      </w:r>
      <w:r w:rsidRPr="00543AC0">
        <w:t>-частного партнерства планируется реализация программы</w:t>
      </w:r>
      <w:r w:rsidR="00B07DCC" w:rsidRPr="00543AC0">
        <w:t xml:space="preserve"> газификации населенных пунктов,</w:t>
      </w:r>
      <w:r w:rsidRPr="00543AC0">
        <w:t xml:space="preserve"> строительство и модернизация </w:t>
      </w:r>
      <w:r w:rsidR="00B07DCC" w:rsidRPr="00543AC0">
        <w:t xml:space="preserve">объектов жилищно-коммунального хозяйства и </w:t>
      </w:r>
      <w:r w:rsidRPr="00543AC0">
        <w:t xml:space="preserve">транспортной </w:t>
      </w:r>
      <w:r w:rsidR="00B07DCC" w:rsidRPr="00543AC0">
        <w:t>инфраструктуры</w:t>
      </w:r>
      <w:r w:rsidRPr="00543AC0">
        <w:t xml:space="preserve">, </w:t>
      </w:r>
      <w:r w:rsidR="00B07DCC" w:rsidRPr="00543AC0">
        <w:t>а также мероприятий в социальной сфере (здравоохранении, образовании, социальной поддержке населения)</w:t>
      </w:r>
      <w:r w:rsidRPr="00543AC0">
        <w:t xml:space="preserve">. </w:t>
      </w:r>
      <w:r w:rsidR="00CB7741" w:rsidRPr="00543AC0">
        <w:t xml:space="preserve">Финансирование проектов </w:t>
      </w:r>
      <w:r w:rsidR="00CB7741" w:rsidRPr="00026195">
        <w:t>будет осуществляться в соответствии с приоритетными направлени</w:t>
      </w:r>
      <w:r w:rsidR="00120593" w:rsidRPr="00026195">
        <w:t>ями, определенными в Стратегии</w:t>
      </w:r>
      <w:r w:rsidR="00CB7741" w:rsidRPr="00026195">
        <w:t xml:space="preserve">. </w:t>
      </w:r>
    </w:p>
    <w:p w14:paraId="42FD87CF" w14:textId="21D45974" w:rsidR="00062178" w:rsidRPr="00026195" w:rsidRDefault="00062178" w:rsidP="00A93D7F">
      <w:r w:rsidRPr="00026195">
        <w:t xml:space="preserve">На реализацию всех мероприятий Стратегии </w:t>
      </w:r>
      <w:r w:rsidR="00BB13EC" w:rsidRPr="00026195">
        <w:t>потребуется:</w:t>
      </w:r>
    </w:p>
    <w:p w14:paraId="2BB82623" w14:textId="2175FF4E" w:rsidR="00BB13EC" w:rsidRPr="00026195" w:rsidRDefault="00BB13EC" w:rsidP="00A93D7F">
      <w:pPr>
        <w:pStyle w:val="a0"/>
        <w:numPr>
          <w:ilvl w:val="0"/>
          <w:numId w:val="44"/>
        </w:numPr>
      </w:pPr>
      <w:r w:rsidRPr="00026195">
        <w:t xml:space="preserve">на </w:t>
      </w:r>
      <w:r w:rsidRPr="00026195">
        <w:rPr>
          <w:lang w:val="en-US"/>
        </w:rPr>
        <w:t>I</w:t>
      </w:r>
      <w:r w:rsidRPr="00026195">
        <w:t xml:space="preserve"> этапе реализации (2018-2020 гг.) –</w:t>
      </w:r>
      <w:r w:rsidR="006861A2" w:rsidRPr="00026195">
        <w:t xml:space="preserve"> 435 552,3</w:t>
      </w:r>
      <w:r w:rsidRPr="00026195">
        <w:t xml:space="preserve"> </w:t>
      </w:r>
      <w:r w:rsidR="006861A2" w:rsidRPr="00026195">
        <w:t>млн. руб.</w:t>
      </w:r>
      <w:r w:rsidRPr="00026195">
        <w:t xml:space="preserve">, </w:t>
      </w:r>
      <w:r w:rsidR="00E07B3F" w:rsidRPr="00026195">
        <w:t>из них:</w:t>
      </w:r>
    </w:p>
    <w:p w14:paraId="2A570F9B" w14:textId="0390E5D9" w:rsidR="00F4169C" w:rsidRPr="00026195" w:rsidRDefault="00E07B3F" w:rsidP="00A93D7F">
      <w:pPr>
        <w:pStyle w:val="a0"/>
        <w:numPr>
          <w:ilvl w:val="1"/>
          <w:numId w:val="44"/>
        </w:numPr>
        <w:rPr>
          <w:rFonts w:eastAsia="Times New Roman"/>
          <w:color w:val="000000"/>
        </w:rPr>
      </w:pPr>
      <w:r w:rsidRPr="00026195">
        <w:t xml:space="preserve">предельные расходы на финансовое обеспечение реализации муниципальных программ (с учетом средств федерального бюджета, окружного бюджета, местного бюджета, иных источников) – </w:t>
      </w:r>
      <w:r w:rsidRPr="00026195">
        <w:rPr>
          <w:rFonts w:eastAsia="Times New Roman"/>
          <w:color w:val="000000"/>
        </w:rPr>
        <w:t>18</w:t>
      </w:r>
      <w:r w:rsidR="00F4169C" w:rsidRPr="00026195">
        <w:rPr>
          <w:rFonts w:eastAsia="Times New Roman"/>
          <w:color w:val="000000"/>
        </w:rPr>
        <w:t> </w:t>
      </w:r>
      <w:r w:rsidRPr="00026195">
        <w:rPr>
          <w:rFonts w:eastAsia="Times New Roman"/>
          <w:color w:val="000000"/>
        </w:rPr>
        <w:t>595,13</w:t>
      </w:r>
      <w:r w:rsidR="00F4169C" w:rsidRPr="00026195">
        <w:rPr>
          <w:rFonts w:eastAsia="Times New Roman"/>
          <w:color w:val="000000"/>
        </w:rPr>
        <w:t> млн. руб.</w:t>
      </w:r>
      <w:r w:rsidRPr="00026195">
        <w:rPr>
          <w:rFonts w:eastAsia="Times New Roman"/>
          <w:color w:val="000000"/>
        </w:rPr>
        <w:t>, в т.ч. средства консолидированного бюдже</w:t>
      </w:r>
      <w:r w:rsidR="00F4169C" w:rsidRPr="00026195">
        <w:rPr>
          <w:rFonts w:eastAsia="Times New Roman"/>
          <w:color w:val="000000"/>
        </w:rPr>
        <w:t>та Нефтею</w:t>
      </w:r>
      <w:r w:rsidRPr="00026195">
        <w:rPr>
          <w:rFonts w:eastAsia="Times New Roman"/>
          <w:color w:val="000000"/>
        </w:rPr>
        <w:t>ганского района</w:t>
      </w:r>
      <w:r w:rsidR="00F4169C" w:rsidRPr="00026195">
        <w:rPr>
          <w:rFonts w:eastAsia="Times New Roman"/>
          <w:color w:val="000000"/>
        </w:rPr>
        <w:t xml:space="preserve"> – 11 645,89 млн. руб.;</w:t>
      </w:r>
    </w:p>
    <w:p w14:paraId="199061CD" w14:textId="13E1450A" w:rsidR="00F4169C" w:rsidRPr="00026195" w:rsidRDefault="00F4169C" w:rsidP="00A93D7F">
      <w:pPr>
        <w:pStyle w:val="a0"/>
        <w:numPr>
          <w:ilvl w:val="1"/>
          <w:numId w:val="44"/>
        </w:numPr>
      </w:pPr>
      <w:r w:rsidRPr="00026195">
        <w:t>объем инвестиций в основной капитал за счет всех источников финансирования –</w:t>
      </w:r>
      <w:r w:rsidR="001E72CC" w:rsidRPr="00026195">
        <w:t xml:space="preserve"> </w:t>
      </w:r>
      <w:r w:rsidR="001058A8" w:rsidRPr="00026195">
        <w:t>416 957,2 млн. руб.</w:t>
      </w:r>
      <w:r w:rsidRPr="00026195">
        <w:t>, в т.ч. объем инвестиций в основной капитал организаций муниципальной формы собственности – 3 157,99 млн. руб.</w:t>
      </w:r>
    </w:p>
    <w:p w14:paraId="5F616C06" w14:textId="3596C2C1" w:rsidR="00F4169C" w:rsidRPr="00026195" w:rsidRDefault="00F4169C" w:rsidP="00A93D7F">
      <w:pPr>
        <w:pStyle w:val="a0"/>
        <w:numPr>
          <w:ilvl w:val="0"/>
          <w:numId w:val="44"/>
        </w:numPr>
      </w:pPr>
      <w:r w:rsidRPr="00026195">
        <w:t xml:space="preserve">на </w:t>
      </w:r>
      <w:r w:rsidRPr="00026195">
        <w:rPr>
          <w:lang w:val="en-US"/>
        </w:rPr>
        <w:t>II</w:t>
      </w:r>
      <w:r w:rsidRPr="00026195">
        <w:t xml:space="preserve"> этапе реализации (2021-2025 гг.) – </w:t>
      </w:r>
      <w:r w:rsidR="006861A2" w:rsidRPr="00026195">
        <w:t>849 719,8 млн. руб.</w:t>
      </w:r>
      <w:r w:rsidRPr="00026195">
        <w:t>, из них:</w:t>
      </w:r>
    </w:p>
    <w:p w14:paraId="377A1D96" w14:textId="291635BF" w:rsidR="00F4169C" w:rsidRPr="00026195" w:rsidRDefault="00F4169C" w:rsidP="00A93D7F">
      <w:pPr>
        <w:pStyle w:val="a0"/>
        <w:numPr>
          <w:ilvl w:val="1"/>
          <w:numId w:val="44"/>
        </w:numPr>
        <w:rPr>
          <w:rFonts w:eastAsia="Times New Roman"/>
          <w:color w:val="000000"/>
        </w:rPr>
      </w:pPr>
      <w:r w:rsidRPr="00026195">
        <w:t xml:space="preserve">предельные расходы на финансовое обеспечение реализации муниципальных программ (с учетом средств федерального бюджета, окружного бюджета, местного бюджета, иных источников) – </w:t>
      </w:r>
      <w:r w:rsidRPr="00026195">
        <w:rPr>
          <w:rFonts w:eastAsia="Times New Roman"/>
          <w:color w:val="000000"/>
        </w:rPr>
        <w:t>25 970,15 млн. руб., в т.ч. средства консолидированного бюджета Нефтеюганского района – 21 081,25 млн. руб.;</w:t>
      </w:r>
    </w:p>
    <w:p w14:paraId="62CDE38C" w14:textId="44688A52" w:rsidR="00F4169C" w:rsidRPr="00026195" w:rsidRDefault="00F4169C" w:rsidP="00A93D7F">
      <w:pPr>
        <w:pStyle w:val="a0"/>
        <w:numPr>
          <w:ilvl w:val="1"/>
          <w:numId w:val="44"/>
        </w:numPr>
      </w:pPr>
      <w:r w:rsidRPr="00026195">
        <w:t xml:space="preserve">объем инвестиций в основной капитал за счет всех источников финансирования – </w:t>
      </w:r>
      <w:r w:rsidR="001058A8" w:rsidRPr="00026195">
        <w:t>823 749,7 млн. руб.</w:t>
      </w:r>
      <w:r w:rsidRPr="00026195">
        <w:t xml:space="preserve">, в т.ч. объем инвестиций в основной капитал организаций муниципальной формы собственности – </w:t>
      </w:r>
      <w:r w:rsidR="00015B8F" w:rsidRPr="00026195">
        <w:t>6</w:t>
      </w:r>
      <w:r w:rsidRPr="00026195">
        <w:t> </w:t>
      </w:r>
      <w:r w:rsidR="00015B8F" w:rsidRPr="00026195">
        <w:t>525,06 млн. </w:t>
      </w:r>
      <w:r w:rsidRPr="00026195">
        <w:t>руб.</w:t>
      </w:r>
    </w:p>
    <w:p w14:paraId="73117912" w14:textId="739F1E17" w:rsidR="00FC0469" w:rsidRPr="00026195" w:rsidRDefault="00FC0469" w:rsidP="00A93D7F">
      <w:pPr>
        <w:pStyle w:val="a0"/>
        <w:numPr>
          <w:ilvl w:val="0"/>
          <w:numId w:val="44"/>
        </w:numPr>
      </w:pPr>
      <w:r w:rsidRPr="00026195">
        <w:t xml:space="preserve">на </w:t>
      </w:r>
      <w:r w:rsidRPr="00026195">
        <w:rPr>
          <w:lang w:val="en-US"/>
        </w:rPr>
        <w:t>I</w:t>
      </w:r>
      <w:r w:rsidR="00773225" w:rsidRPr="00026195">
        <w:rPr>
          <w:lang w:val="en-US"/>
        </w:rPr>
        <w:t>I</w:t>
      </w:r>
      <w:r w:rsidRPr="00026195">
        <w:rPr>
          <w:lang w:val="en-US"/>
        </w:rPr>
        <w:t>I</w:t>
      </w:r>
      <w:r w:rsidRPr="00026195">
        <w:t xml:space="preserve"> э</w:t>
      </w:r>
      <w:r w:rsidR="00773225" w:rsidRPr="00026195">
        <w:t>тапе реализации (2026-2030</w:t>
      </w:r>
      <w:r w:rsidRPr="00026195">
        <w:t xml:space="preserve"> гг.) – </w:t>
      </w:r>
      <w:r w:rsidR="006861A2" w:rsidRPr="00026195">
        <w:t>1 046 155,2 млн. руб.</w:t>
      </w:r>
      <w:r w:rsidRPr="00026195">
        <w:t>, из них:</w:t>
      </w:r>
    </w:p>
    <w:p w14:paraId="005E9B75" w14:textId="7398F4C2" w:rsidR="00FC0469" w:rsidRPr="00026195" w:rsidRDefault="00FC0469" w:rsidP="00A93D7F">
      <w:pPr>
        <w:pStyle w:val="a0"/>
        <w:numPr>
          <w:ilvl w:val="1"/>
          <w:numId w:val="44"/>
        </w:numPr>
        <w:rPr>
          <w:rFonts w:eastAsia="Times New Roman"/>
          <w:color w:val="000000"/>
        </w:rPr>
      </w:pPr>
      <w:r w:rsidRPr="00026195">
        <w:t xml:space="preserve">предельные расходы на финансовое обеспечение реализации муниципальных программ (с учетом средств федерального бюджета, окружного бюджета, местного бюджета, иных источников) – </w:t>
      </w:r>
      <w:r w:rsidRPr="00026195">
        <w:rPr>
          <w:rFonts w:eastAsia="Times New Roman"/>
          <w:color w:val="000000"/>
        </w:rPr>
        <w:t>2</w:t>
      </w:r>
      <w:r w:rsidR="00D71027" w:rsidRPr="00026195">
        <w:rPr>
          <w:rFonts w:eastAsia="Times New Roman"/>
          <w:color w:val="000000"/>
        </w:rPr>
        <w:t>7</w:t>
      </w:r>
      <w:r w:rsidRPr="00026195">
        <w:rPr>
          <w:rFonts w:eastAsia="Times New Roman"/>
          <w:color w:val="000000"/>
        </w:rPr>
        <w:t> </w:t>
      </w:r>
      <w:r w:rsidR="00D71027" w:rsidRPr="00026195">
        <w:rPr>
          <w:rFonts w:eastAsia="Times New Roman"/>
          <w:color w:val="000000"/>
        </w:rPr>
        <w:t>203,96</w:t>
      </w:r>
      <w:r w:rsidRPr="00026195">
        <w:rPr>
          <w:rFonts w:eastAsia="Times New Roman"/>
          <w:color w:val="000000"/>
        </w:rPr>
        <w:t xml:space="preserve"> млн. руб., в т.ч. средства консолидированного бюджета Нефтеюганского района – </w:t>
      </w:r>
      <w:r w:rsidR="00D71027" w:rsidRPr="00026195">
        <w:rPr>
          <w:rFonts w:eastAsia="Times New Roman"/>
          <w:color w:val="000000"/>
        </w:rPr>
        <w:t>22</w:t>
      </w:r>
      <w:r w:rsidRPr="00026195">
        <w:rPr>
          <w:rFonts w:eastAsia="Times New Roman"/>
          <w:color w:val="000000"/>
        </w:rPr>
        <w:t> </w:t>
      </w:r>
      <w:r w:rsidR="00D71027" w:rsidRPr="00026195">
        <w:rPr>
          <w:rFonts w:eastAsia="Times New Roman"/>
          <w:color w:val="000000"/>
        </w:rPr>
        <w:t>082,80</w:t>
      </w:r>
      <w:r w:rsidRPr="00026195">
        <w:rPr>
          <w:rFonts w:eastAsia="Times New Roman"/>
          <w:color w:val="000000"/>
        </w:rPr>
        <w:t xml:space="preserve"> млн. руб.;</w:t>
      </w:r>
    </w:p>
    <w:p w14:paraId="6FE90034" w14:textId="72848D5E" w:rsidR="00F4169C" w:rsidRPr="00FC0469" w:rsidRDefault="00FC0469" w:rsidP="00A93D7F">
      <w:pPr>
        <w:pStyle w:val="a0"/>
        <w:numPr>
          <w:ilvl w:val="1"/>
          <w:numId w:val="44"/>
        </w:numPr>
      </w:pPr>
      <w:r w:rsidRPr="00026195">
        <w:t xml:space="preserve">объем инвестиций в основной капитал за счет всех источников финансирования – </w:t>
      </w:r>
      <w:r w:rsidR="001058A8" w:rsidRPr="00026195">
        <w:t>1 018 951,2 млн. руб.</w:t>
      </w:r>
      <w:r w:rsidRPr="00026195">
        <w:t>, в т.ч. объем инвестиций в основной капитал организаций муниципальной</w:t>
      </w:r>
      <w:r w:rsidRPr="00F4169C">
        <w:t xml:space="preserve"> формы собственности – </w:t>
      </w:r>
      <w:r w:rsidR="00D71027">
        <w:t>8</w:t>
      </w:r>
      <w:r w:rsidRPr="00F4169C">
        <w:t> </w:t>
      </w:r>
      <w:r w:rsidR="00D71027">
        <w:t>327,78</w:t>
      </w:r>
      <w:r>
        <w:t> млн. </w:t>
      </w:r>
      <w:r w:rsidRPr="00F4169C">
        <w:t>руб.</w:t>
      </w:r>
    </w:p>
    <w:p w14:paraId="45604F58" w14:textId="15FBA79A" w:rsidR="00995CA0" w:rsidRPr="00543AC0" w:rsidRDefault="00995CA0" w:rsidP="00995CA0">
      <w:pPr>
        <w:pStyle w:val="af1"/>
        <w:spacing w:line="240" w:lineRule="auto"/>
        <w:rPr>
          <w:sz w:val="24"/>
          <w:szCs w:val="24"/>
        </w:rPr>
      </w:pPr>
      <w:r w:rsidRPr="00543AC0">
        <w:rPr>
          <w:sz w:val="24"/>
          <w:szCs w:val="24"/>
        </w:rPr>
        <w:t xml:space="preserve">Реализация приоритетных направлений Стратегии даст сложный синергетический эффект: реализация мероприятий в рамках приоритетных направлений формирует </w:t>
      </w:r>
      <w:r w:rsidRPr="00543AC0">
        <w:rPr>
          <w:sz w:val="24"/>
          <w:szCs w:val="24"/>
        </w:rPr>
        <w:lastRenderedPageBreak/>
        <w:t xml:space="preserve">предпосылки для комплексной реализации всех прочих инициатив. Общей для всех приоритетных направлений является ориентация на создание новых рабочих мест, повышение качества жизни людей, инфраструктурное развитие и повышение транспортной связности территории. Ускоренное развитие ключевых секторов экономики (нефтедобывающей отрасли, обрабатывающей промышленности, сельскохозяйственной отрасли и потребительского рынка) будет обеспечиваться, в первую очередь, локализацией цепочек добавленной стоимости на территории городского и сельских поселений района. Ключевым фактором развития станет внедрение механизмов </w:t>
      </w:r>
      <w:r w:rsidR="000C6537" w:rsidRPr="00543AC0">
        <w:rPr>
          <w:sz w:val="24"/>
          <w:szCs w:val="24"/>
        </w:rPr>
        <w:t>инвестиционной стратегии</w:t>
      </w:r>
      <w:r w:rsidRPr="00543AC0">
        <w:rPr>
          <w:sz w:val="24"/>
          <w:szCs w:val="24"/>
        </w:rPr>
        <w:t xml:space="preserve">, развитие институтов поддержки малого предпринимательства, направленное не только на реализацию крупных инвестиционных проектов, но и на повышение предпринимательской активности среди местного населения. </w:t>
      </w:r>
    </w:p>
    <w:p w14:paraId="48C3F4BC" w14:textId="17B9595A" w:rsidR="003C63BC" w:rsidRPr="00543AC0" w:rsidRDefault="00236AB0" w:rsidP="00A93D7F">
      <w:r w:rsidRPr="00543AC0">
        <w:t>Локализация цепочек добавленной стоимости и углубление переработки минерально-сырьевых и лесных ресурсов, а также продукции сельского хозяйства является ключевым направлением экономической политики района. Развитие отраслей об</w:t>
      </w:r>
      <w:r w:rsidR="003C63BC" w:rsidRPr="00543AC0">
        <w:t xml:space="preserve">рабатывающей промышленности позволит обеспечить рынок труда широким спектром рабочих мест, в том числе, в смежных отраслях – транспорте и логистике, </w:t>
      </w:r>
      <w:r w:rsidR="007E27F9" w:rsidRPr="00543AC0">
        <w:t>строительной отрасли</w:t>
      </w:r>
      <w:r w:rsidR="003C63BC" w:rsidRPr="00543AC0">
        <w:t>, оптовой торговле, сфере услуг и потребительском рынке.</w:t>
      </w:r>
      <w:r w:rsidR="007E27F9" w:rsidRPr="00543AC0">
        <w:t xml:space="preserve"> </w:t>
      </w:r>
      <w:r w:rsidR="003C63BC" w:rsidRPr="00543AC0">
        <w:rPr>
          <w:shd w:val="clear" w:color="auto" w:fill="FFFFFF"/>
        </w:rPr>
        <w:t>Таким образом, развитие промышленного комплекса обеспечит дальнейшую диверсификацию экономики и создаст дополнительные возможности для увеличения квалифицированной занятости населения.</w:t>
      </w:r>
    </w:p>
    <w:p w14:paraId="2090BE38" w14:textId="77777777" w:rsidR="003C63BC" w:rsidRPr="00543AC0" w:rsidRDefault="003C63BC" w:rsidP="003C63BC">
      <w:pPr>
        <w:pStyle w:val="af1"/>
        <w:spacing w:line="240" w:lineRule="auto"/>
        <w:rPr>
          <w:sz w:val="24"/>
          <w:szCs w:val="24"/>
        </w:rPr>
      </w:pPr>
      <w:r w:rsidRPr="00543AC0">
        <w:rPr>
          <w:sz w:val="24"/>
          <w:szCs w:val="24"/>
        </w:rPr>
        <w:t xml:space="preserve">Немаловажным фактором комплексного повышения устойчивости экономики района является строительная отрасль. Сам по себе строительный комплекс является ограниченным по масштабам, однако обладает существенным мультипликативным эффектом. Его развитие не только решает проблему повышения качества жизни, но и выступает драйвером роста для целого спектра связанных секторов: производства строительных материалов и конструкций, логистики, товаров длительного пользования, </w:t>
      </w:r>
      <w:r w:rsidRPr="00543AC0">
        <w:rPr>
          <w:color w:val="000000"/>
          <w:sz w:val="24"/>
          <w:szCs w:val="24"/>
        </w:rPr>
        <w:t>а также потребительского рынка и сферы услуг поселений</w:t>
      </w:r>
      <w:r w:rsidRPr="00543AC0">
        <w:rPr>
          <w:sz w:val="24"/>
          <w:szCs w:val="24"/>
        </w:rPr>
        <w:t>. Рост производительности труда, общей эффективности в базовых отраслях, а также динамика доходов населения, а свою очередь, определяют развитие сектора коммерческих и персональных услуг. </w:t>
      </w:r>
    </w:p>
    <w:p w14:paraId="6BDE2FBA" w14:textId="159BC3C7" w:rsidR="003C63BC" w:rsidRPr="00543AC0" w:rsidRDefault="003C63BC" w:rsidP="003C63BC">
      <w:pPr>
        <w:pStyle w:val="af1"/>
        <w:spacing w:line="240" w:lineRule="auto"/>
        <w:rPr>
          <w:sz w:val="24"/>
          <w:szCs w:val="24"/>
        </w:rPr>
      </w:pPr>
      <w:r w:rsidRPr="00543AC0">
        <w:rPr>
          <w:rStyle w:val="s1"/>
          <w:sz w:val="24"/>
          <w:szCs w:val="24"/>
        </w:rPr>
        <w:t>От сложившейся структуры производства также зависит качество экономического роста, так как она определяет возможности экономики в части формирования и перераспределения ресурсов, в том числе и на цели повышения эффективности</w:t>
      </w:r>
      <w:r w:rsidR="00236AB0" w:rsidRPr="00543AC0">
        <w:rPr>
          <w:rStyle w:val="s1"/>
          <w:sz w:val="24"/>
          <w:szCs w:val="24"/>
        </w:rPr>
        <w:t xml:space="preserve"> производства</w:t>
      </w:r>
      <w:r w:rsidRPr="00543AC0">
        <w:rPr>
          <w:rStyle w:val="s1"/>
          <w:sz w:val="24"/>
          <w:szCs w:val="24"/>
        </w:rPr>
        <w:t>.</w:t>
      </w:r>
      <w:r w:rsidRPr="00543AC0">
        <w:rPr>
          <w:rStyle w:val="apple-converted-space"/>
          <w:sz w:val="24"/>
          <w:szCs w:val="24"/>
        </w:rPr>
        <w:t> </w:t>
      </w:r>
      <w:r w:rsidRPr="00543AC0">
        <w:rPr>
          <w:sz w:val="24"/>
          <w:szCs w:val="24"/>
        </w:rPr>
        <w:t>В целях обеспечения сбалансированного развития экономики района</w:t>
      </w:r>
      <w:r w:rsidR="00236AB0" w:rsidRPr="00543AC0">
        <w:rPr>
          <w:sz w:val="24"/>
          <w:szCs w:val="24"/>
        </w:rPr>
        <w:t xml:space="preserve"> и</w:t>
      </w:r>
      <w:r w:rsidRPr="00543AC0">
        <w:rPr>
          <w:sz w:val="24"/>
          <w:szCs w:val="24"/>
        </w:rPr>
        <w:t>, прежде всего, сельских поселений, необходимо осуществлять популяризацию предпринимательской деятельности среди населения района. Расширение программ самозанятости и форм поддержки малого бизнеса должно быть направлено на стимулирование развития малых форм хозяйствования в сфере социальных и бытовых услуг, агропромышленном секторе, в первую очередь в отрасли сельского хозяйства, однако перспективным направлением является также развитие малых предприятий перерабатывающей промышленности</w:t>
      </w:r>
      <w:r w:rsidR="00236AB0" w:rsidRPr="00543AC0">
        <w:rPr>
          <w:sz w:val="24"/>
          <w:szCs w:val="24"/>
        </w:rPr>
        <w:t xml:space="preserve"> (производство строительных материалов, пищевых продуктов)</w:t>
      </w:r>
      <w:r w:rsidRPr="00543AC0">
        <w:rPr>
          <w:sz w:val="24"/>
          <w:szCs w:val="24"/>
        </w:rPr>
        <w:t xml:space="preserve">. </w:t>
      </w:r>
    </w:p>
    <w:p w14:paraId="45D9D40D" w14:textId="251F689A" w:rsidR="003C63BC" w:rsidRPr="00543AC0" w:rsidRDefault="003C63BC" w:rsidP="003C63BC">
      <w:pPr>
        <w:pStyle w:val="af1"/>
        <w:spacing w:line="240" w:lineRule="auto"/>
        <w:rPr>
          <w:sz w:val="24"/>
          <w:szCs w:val="24"/>
        </w:rPr>
      </w:pPr>
      <w:r w:rsidRPr="00543AC0">
        <w:rPr>
          <w:sz w:val="24"/>
          <w:szCs w:val="24"/>
          <w:shd w:val="clear" w:color="auto" w:fill="FFFFFF"/>
        </w:rPr>
        <w:t xml:space="preserve">Приоритетом инфраструктурного развития </w:t>
      </w:r>
      <w:r w:rsidR="00986D82" w:rsidRPr="00543AC0">
        <w:rPr>
          <w:sz w:val="24"/>
          <w:szCs w:val="24"/>
          <w:shd w:val="clear" w:color="auto" w:fill="FFFFFF"/>
        </w:rPr>
        <w:t>станет</w:t>
      </w:r>
      <w:r w:rsidRPr="00543AC0">
        <w:rPr>
          <w:sz w:val="24"/>
          <w:szCs w:val="24"/>
          <w:shd w:val="clear" w:color="auto" w:fill="FFFFFF"/>
        </w:rPr>
        <w:t xml:space="preserve"> реализация конкретных инфраструктурных проектов, направленных на повышение транспортной и хозяйственной связности поселений и </w:t>
      </w:r>
      <w:r w:rsidR="00986D82" w:rsidRPr="00543AC0">
        <w:rPr>
          <w:sz w:val="24"/>
          <w:szCs w:val="24"/>
          <w:shd w:val="clear" w:color="auto" w:fill="FFFFFF"/>
        </w:rPr>
        <w:t>Нефтеюганского</w:t>
      </w:r>
      <w:r w:rsidRPr="00543AC0">
        <w:rPr>
          <w:sz w:val="24"/>
          <w:szCs w:val="24"/>
          <w:shd w:val="clear" w:color="auto" w:fill="FFFFFF"/>
        </w:rPr>
        <w:t xml:space="preserve"> района в целом с ключевым</w:t>
      </w:r>
      <w:r w:rsidR="00986D82" w:rsidRPr="00543AC0">
        <w:rPr>
          <w:sz w:val="24"/>
          <w:szCs w:val="24"/>
          <w:shd w:val="clear" w:color="auto" w:fill="FFFFFF"/>
        </w:rPr>
        <w:t>и</w:t>
      </w:r>
      <w:r w:rsidR="00FC0E0E" w:rsidRPr="00543AC0">
        <w:rPr>
          <w:sz w:val="24"/>
          <w:szCs w:val="24"/>
          <w:shd w:val="clear" w:color="auto" w:fill="FFFFFF"/>
        </w:rPr>
        <w:t xml:space="preserve"> рынками</w:t>
      </w:r>
      <w:r w:rsidRPr="00543AC0">
        <w:rPr>
          <w:sz w:val="24"/>
          <w:szCs w:val="24"/>
          <w:shd w:val="clear" w:color="auto" w:fill="FFFFFF"/>
        </w:rPr>
        <w:t xml:space="preserve"> </w:t>
      </w:r>
      <w:r w:rsidR="00986D82" w:rsidRPr="00543AC0">
        <w:rPr>
          <w:sz w:val="24"/>
          <w:szCs w:val="24"/>
          <w:shd w:val="clear" w:color="auto" w:fill="FFFFFF"/>
        </w:rPr>
        <w:t>на территории Ханты-Мансийского автономного округа</w:t>
      </w:r>
      <w:r w:rsidRPr="00543AC0">
        <w:rPr>
          <w:sz w:val="24"/>
          <w:szCs w:val="24"/>
          <w:shd w:val="clear" w:color="auto" w:fill="FFFFFF"/>
        </w:rPr>
        <w:t>.</w:t>
      </w:r>
    </w:p>
    <w:p w14:paraId="50A8DCB3" w14:textId="16C5ED5D" w:rsidR="003C63BC" w:rsidRPr="00543AC0" w:rsidRDefault="003C63BC" w:rsidP="003C63BC">
      <w:pPr>
        <w:pStyle w:val="af1"/>
        <w:spacing w:line="240" w:lineRule="auto"/>
        <w:rPr>
          <w:sz w:val="24"/>
          <w:szCs w:val="24"/>
        </w:rPr>
      </w:pPr>
      <w:r w:rsidRPr="00543AC0">
        <w:rPr>
          <w:sz w:val="24"/>
          <w:szCs w:val="24"/>
        </w:rPr>
        <w:t xml:space="preserve">На сегодняшний день одной из основных проблем экономического развития </w:t>
      </w:r>
      <w:r w:rsidR="00A31DB8" w:rsidRPr="00543AC0">
        <w:rPr>
          <w:sz w:val="24"/>
          <w:szCs w:val="24"/>
        </w:rPr>
        <w:t>Нефтеюганского</w:t>
      </w:r>
      <w:r w:rsidRPr="00543AC0">
        <w:rPr>
          <w:sz w:val="24"/>
          <w:szCs w:val="24"/>
        </w:rPr>
        <w:t xml:space="preserve"> района является </w:t>
      </w:r>
      <w:r w:rsidR="00A31DB8" w:rsidRPr="00543AC0">
        <w:rPr>
          <w:sz w:val="24"/>
          <w:szCs w:val="24"/>
        </w:rPr>
        <w:t xml:space="preserve">дефицит квалифицированных рабочих мест и </w:t>
      </w:r>
      <w:r w:rsidR="00AB46FE" w:rsidRPr="00543AC0">
        <w:rPr>
          <w:sz w:val="24"/>
          <w:szCs w:val="24"/>
        </w:rPr>
        <w:t>квалифицированного рабочего персонала в несырьевом секторе экономики</w:t>
      </w:r>
      <w:r w:rsidRPr="00543AC0">
        <w:rPr>
          <w:sz w:val="24"/>
          <w:szCs w:val="24"/>
        </w:rPr>
        <w:t xml:space="preserve">. Кадровая проблема является существенным ограничением и для развития сферы услуг и потребительского рынка, а также социальной сферы – здравоохранения, образования и социального обслуживания.  В целях сбалансированного развития рынка труда </w:t>
      </w:r>
      <w:r w:rsidRPr="00543AC0">
        <w:rPr>
          <w:sz w:val="24"/>
          <w:szCs w:val="24"/>
        </w:rPr>
        <w:lastRenderedPageBreak/>
        <w:t xml:space="preserve">необходимо повышать доходы лиц, занятых во всех отраслях экономической деятельности, обеспечивать население комфортным жильем, </w:t>
      </w:r>
      <w:r w:rsidR="00486687" w:rsidRPr="00543AC0">
        <w:rPr>
          <w:sz w:val="24"/>
          <w:szCs w:val="24"/>
        </w:rPr>
        <w:t>стимулировать создание квалифицированных рабочих мест на предприятиях малого и среднего бизнеса</w:t>
      </w:r>
      <w:r w:rsidRPr="00543AC0">
        <w:rPr>
          <w:sz w:val="24"/>
          <w:szCs w:val="24"/>
        </w:rPr>
        <w:t xml:space="preserve">. Без реализации комплексных мер по повышению уровня жизни населения и </w:t>
      </w:r>
      <w:r w:rsidR="007123BD" w:rsidRPr="00543AC0">
        <w:rPr>
          <w:sz w:val="24"/>
          <w:szCs w:val="24"/>
        </w:rPr>
        <w:t xml:space="preserve">инфраструктурного </w:t>
      </w:r>
      <w:r w:rsidRPr="00543AC0">
        <w:rPr>
          <w:sz w:val="24"/>
          <w:szCs w:val="24"/>
        </w:rPr>
        <w:t xml:space="preserve">обустройства сельских поселений </w:t>
      </w:r>
      <w:r w:rsidR="007123BD" w:rsidRPr="00543AC0">
        <w:rPr>
          <w:sz w:val="24"/>
          <w:szCs w:val="24"/>
        </w:rPr>
        <w:t>невозможно</w:t>
      </w:r>
      <w:r w:rsidRPr="00543AC0">
        <w:rPr>
          <w:sz w:val="24"/>
          <w:szCs w:val="24"/>
        </w:rPr>
        <w:t xml:space="preserve"> решить задачи по </w:t>
      </w:r>
      <w:r w:rsidR="007123BD" w:rsidRPr="00543AC0">
        <w:rPr>
          <w:sz w:val="24"/>
          <w:szCs w:val="24"/>
        </w:rPr>
        <w:t>обеспечению сбалансированного и устойчивого социально-экономического развития Нефтеюганского</w:t>
      </w:r>
      <w:r w:rsidRPr="00543AC0">
        <w:rPr>
          <w:sz w:val="24"/>
          <w:szCs w:val="24"/>
        </w:rPr>
        <w:t xml:space="preserve"> района.</w:t>
      </w:r>
    </w:p>
    <w:p w14:paraId="7D7D3E17" w14:textId="77777777" w:rsidR="003C63BC" w:rsidRPr="00543AC0" w:rsidRDefault="003C63BC" w:rsidP="00995CA0">
      <w:pPr>
        <w:pStyle w:val="af1"/>
        <w:spacing w:line="240" w:lineRule="auto"/>
        <w:rPr>
          <w:sz w:val="24"/>
          <w:szCs w:val="24"/>
        </w:rPr>
      </w:pPr>
    </w:p>
    <w:p w14:paraId="3E1BA39B" w14:textId="77777777" w:rsidR="00995CA0" w:rsidRDefault="00995CA0" w:rsidP="00A93D7F"/>
    <w:p w14:paraId="3826D765" w14:textId="77777777" w:rsidR="00CB7741" w:rsidRDefault="00CB7741" w:rsidP="00A93D7F"/>
    <w:p w14:paraId="376F4EB2" w14:textId="77777777" w:rsidR="00CB7741" w:rsidRPr="00CB7741" w:rsidRDefault="00CB7741" w:rsidP="00A93D7F"/>
    <w:p w14:paraId="4B075EE1" w14:textId="77777777" w:rsidR="00275404" w:rsidRDefault="00275404" w:rsidP="00A93D7F">
      <w:pPr>
        <w:pStyle w:val="1"/>
        <w:sectPr w:rsidR="00275404" w:rsidSect="00275404">
          <w:pgSz w:w="11900" w:h="16840"/>
          <w:pgMar w:top="1134" w:right="850" w:bottom="1134" w:left="1701" w:header="708" w:footer="708" w:gutter="0"/>
          <w:cols w:space="708"/>
          <w:docGrid w:linePitch="360"/>
        </w:sectPr>
      </w:pPr>
    </w:p>
    <w:p w14:paraId="5E611F92" w14:textId="5000D565" w:rsidR="006F698B" w:rsidRDefault="006F698B" w:rsidP="00A93D7F">
      <w:pPr>
        <w:pStyle w:val="1"/>
      </w:pPr>
      <w:bookmarkStart w:id="56" w:name="_Toc503913887"/>
      <w:bookmarkStart w:id="57" w:name="_Toc504055127"/>
      <w:r w:rsidRPr="006F698B">
        <w:lastRenderedPageBreak/>
        <w:t>СИСТЕМА ПОКАЗАТЕЛЕЙ (ИНДИКАТОРОВ) СОЦИАЛЬНО-ЭКОНОМИЧЕСКОГО РАЗВИТИЯ ПО ВЫБРАННОМУ СЦЕНАРИЮ</w:t>
      </w:r>
      <w:bookmarkEnd w:id="56"/>
      <w:bookmarkEnd w:id="57"/>
    </w:p>
    <w:p w14:paraId="287C7FB3" w14:textId="77777777" w:rsidR="009C09EE" w:rsidRDefault="009C09EE" w:rsidP="00A93D7F"/>
    <w:tbl>
      <w:tblPr>
        <w:tblStyle w:val="ab"/>
        <w:tblW w:w="14747" w:type="dxa"/>
        <w:tblInd w:w="-12" w:type="dxa"/>
        <w:tblLayout w:type="fixed"/>
        <w:tblLook w:val="04A0" w:firstRow="1" w:lastRow="0" w:firstColumn="1" w:lastColumn="0" w:noHBand="0" w:noVBand="1"/>
      </w:tblPr>
      <w:tblGrid>
        <w:gridCol w:w="706"/>
        <w:gridCol w:w="2418"/>
        <w:gridCol w:w="850"/>
        <w:gridCol w:w="851"/>
        <w:gridCol w:w="850"/>
        <w:gridCol w:w="851"/>
        <w:gridCol w:w="850"/>
        <w:gridCol w:w="851"/>
        <w:gridCol w:w="850"/>
        <w:gridCol w:w="843"/>
        <w:gridCol w:w="717"/>
        <w:gridCol w:w="759"/>
        <w:gridCol w:w="792"/>
        <w:gridCol w:w="717"/>
        <w:gridCol w:w="1842"/>
      </w:tblGrid>
      <w:tr w:rsidR="002F4AD5" w:rsidRPr="008275B0" w14:paraId="1AFD094A" w14:textId="306D06A4" w:rsidTr="002F4AD5">
        <w:trPr>
          <w:trHeight w:val="617"/>
        </w:trPr>
        <w:tc>
          <w:tcPr>
            <w:tcW w:w="706" w:type="dxa"/>
            <w:vAlign w:val="center"/>
          </w:tcPr>
          <w:p w14:paraId="61BCED58" w14:textId="77777777" w:rsidR="00835C62" w:rsidRPr="008275B0" w:rsidRDefault="00835C62" w:rsidP="007B2F9D">
            <w:pPr>
              <w:pStyle w:val="af7"/>
            </w:pPr>
            <w:r w:rsidRPr="008275B0">
              <w:t>№</w:t>
            </w:r>
          </w:p>
          <w:p w14:paraId="19886157" w14:textId="27EA382A" w:rsidR="00835C62" w:rsidRPr="008275B0" w:rsidRDefault="00835C62" w:rsidP="007B2F9D">
            <w:pPr>
              <w:pStyle w:val="af7"/>
            </w:pPr>
            <w:r w:rsidRPr="008275B0">
              <w:t>п/п</w:t>
            </w:r>
          </w:p>
        </w:tc>
        <w:tc>
          <w:tcPr>
            <w:tcW w:w="2418" w:type="dxa"/>
            <w:vAlign w:val="center"/>
          </w:tcPr>
          <w:p w14:paraId="200B0480" w14:textId="5F796C03" w:rsidR="00835C62" w:rsidRPr="008275B0" w:rsidRDefault="00835C62" w:rsidP="007B2F9D">
            <w:pPr>
              <w:pStyle w:val="af7"/>
            </w:pPr>
            <w:r w:rsidRPr="008275B0">
              <w:t>Наименование показателя</w:t>
            </w:r>
          </w:p>
        </w:tc>
        <w:tc>
          <w:tcPr>
            <w:tcW w:w="850" w:type="dxa"/>
            <w:vAlign w:val="center"/>
          </w:tcPr>
          <w:p w14:paraId="5031973D" w14:textId="77777777" w:rsidR="00835C62" w:rsidRPr="008275B0" w:rsidRDefault="00835C62" w:rsidP="007B2F9D">
            <w:pPr>
              <w:pStyle w:val="af7"/>
              <w:jc w:val="center"/>
            </w:pPr>
            <w:r w:rsidRPr="008275B0">
              <w:t>Ед.</w:t>
            </w:r>
          </w:p>
          <w:p w14:paraId="61B85753" w14:textId="1983EB6F" w:rsidR="00835C62" w:rsidRPr="008275B0" w:rsidRDefault="00835C62" w:rsidP="007B2F9D">
            <w:pPr>
              <w:pStyle w:val="af7"/>
              <w:jc w:val="center"/>
            </w:pPr>
            <w:r w:rsidRPr="008275B0">
              <w:t>изм.</w:t>
            </w:r>
          </w:p>
        </w:tc>
        <w:tc>
          <w:tcPr>
            <w:tcW w:w="851" w:type="dxa"/>
            <w:vAlign w:val="center"/>
          </w:tcPr>
          <w:p w14:paraId="77FAE729" w14:textId="74EBC6DB" w:rsidR="00835C62" w:rsidRPr="008275B0" w:rsidRDefault="00835C62" w:rsidP="007B2F9D">
            <w:pPr>
              <w:pStyle w:val="af7"/>
              <w:jc w:val="center"/>
            </w:pPr>
            <w:r w:rsidRPr="008275B0">
              <w:t>2016</w:t>
            </w:r>
          </w:p>
        </w:tc>
        <w:tc>
          <w:tcPr>
            <w:tcW w:w="850" w:type="dxa"/>
            <w:vAlign w:val="center"/>
          </w:tcPr>
          <w:p w14:paraId="6F831231" w14:textId="3AE574F2" w:rsidR="00835C62" w:rsidRPr="008275B0" w:rsidRDefault="00835C62" w:rsidP="007B2F9D">
            <w:pPr>
              <w:pStyle w:val="af7"/>
              <w:jc w:val="center"/>
            </w:pPr>
            <w:r w:rsidRPr="008275B0">
              <w:t>2017</w:t>
            </w:r>
          </w:p>
        </w:tc>
        <w:tc>
          <w:tcPr>
            <w:tcW w:w="851" w:type="dxa"/>
            <w:vAlign w:val="center"/>
          </w:tcPr>
          <w:p w14:paraId="067B72BA" w14:textId="7DB829B8" w:rsidR="00835C62" w:rsidRPr="008275B0" w:rsidRDefault="00835C62" w:rsidP="007B2F9D">
            <w:pPr>
              <w:pStyle w:val="af7"/>
              <w:jc w:val="center"/>
            </w:pPr>
            <w:r w:rsidRPr="008275B0">
              <w:t>2018</w:t>
            </w:r>
          </w:p>
        </w:tc>
        <w:tc>
          <w:tcPr>
            <w:tcW w:w="850" w:type="dxa"/>
            <w:vAlign w:val="center"/>
          </w:tcPr>
          <w:p w14:paraId="65035FD3" w14:textId="4363E01F" w:rsidR="00835C62" w:rsidRPr="008275B0" w:rsidRDefault="00835C62" w:rsidP="007B2F9D">
            <w:pPr>
              <w:pStyle w:val="af7"/>
              <w:jc w:val="center"/>
            </w:pPr>
            <w:r w:rsidRPr="008275B0">
              <w:t>2019</w:t>
            </w:r>
          </w:p>
        </w:tc>
        <w:tc>
          <w:tcPr>
            <w:tcW w:w="851" w:type="dxa"/>
            <w:vAlign w:val="center"/>
          </w:tcPr>
          <w:p w14:paraId="125DDD36" w14:textId="7310C285" w:rsidR="00835C62" w:rsidRPr="008275B0" w:rsidRDefault="00835C62" w:rsidP="007B2F9D">
            <w:pPr>
              <w:pStyle w:val="af7"/>
              <w:jc w:val="center"/>
            </w:pPr>
            <w:r w:rsidRPr="008275B0">
              <w:t>2020</w:t>
            </w:r>
          </w:p>
        </w:tc>
        <w:tc>
          <w:tcPr>
            <w:tcW w:w="850" w:type="dxa"/>
            <w:vAlign w:val="center"/>
          </w:tcPr>
          <w:p w14:paraId="35FC1A63" w14:textId="7FD94C56" w:rsidR="00835C62" w:rsidRPr="008275B0" w:rsidRDefault="00835C62" w:rsidP="007B2F9D">
            <w:pPr>
              <w:pStyle w:val="af7"/>
              <w:jc w:val="center"/>
            </w:pPr>
            <w:r w:rsidRPr="008275B0">
              <w:t>2021</w:t>
            </w:r>
          </w:p>
        </w:tc>
        <w:tc>
          <w:tcPr>
            <w:tcW w:w="843" w:type="dxa"/>
            <w:vAlign w:val="center"/>
          </w:tcPr>
          <w:p w14:paraId="238D2387" w14:textId="4E528EE1" w:rsidR="00835C62" w:rsidRPr="008275B0" w:rsidRDefault="00835C62" w:rsidP="007B2F9D">
            <w:pPr>
              <w:pStyle w:val="af7"/>
              <w:jc w:val="center"/>
            </w:pPr>
            <w:r w:rsidRPr="008275B0">
              <w:t>2022</w:t>
            </w:r>
          </w:p>
        </w:tc>
        <w:tc>
          <w:tcPr>
            <w:tcW w:w="717" w:type="dxa"/>
            <w:vAlign w:val="center"/>
          </w:tcPr>
          <w:p w14:paraId="7898CA88" w14:textId="50402F85" w:rsidR="00835C62" w:rsidRPr="008275B0" w:rsidRDefault="00835C62" w:rsidP="007B2F9D">
            <w:pPr>
              <w:pStyle w:val="af7"/>
              <w:jc w:val="center"/>
            </w:pPr>
            <w:r w:rsidRPr="008275B0">
              <w:t>2023</w:t>
            </w:r>
          </w:p>
        </w:tc>
        <w:tc>
          <w:tcPr>
            <w:tcW w:w="759" w:type="dxa"/>
            <w:vAlign w:val="center"/>
          </w:tcPr>
          <w:p w14:paraId="189EB11B" w14:textId="496BDCBB" w:rsidR="00835C62" w:rsidRPr="008275B0" w:rsidRDefault="00835C62" w:rsidP="007B2F9D">
            <w:pPr>
              <w:pStyle w:val="af7"/>
              <w:jc w:val="center"/>
            </w:pPr>
            <w:r w:rsidRPr="008275B0">
              <w:t>2024</w:t>
            </w:r>
          </w:p>
        </w:tc>
        <w:tc>
          <w:tcPr>
            <w:tcW w:w="792" w:type="dxa"/>
            <w:vAlign w:val="center"/>
          </w:tcPr>
          <w:p w14:paraId="3E7FD579" w14:textId="6ACD5F3B" w:rsidR="00835C62" w:rsidRPr="008275B0" w:rsidRDefault="00835C62" w:rsidP="007B2F9D">
            <w:pPr>
              <w:pStyle w:val="af7"/>
              <w:jc w:val="center"/>
            </w:pPr>
            <w:r w:rsidRPr="008275B0">
              <w:t>2025</w:t>
            </w:r>
          </w:p>
        </w:tc>
        <w:tc>
          <w:tcPr>
            <w:tcW w:w="717" w:type="dxa"/>
            <w:vAlign w:val="center"/>
          </w:tcPr>
          <w:p w14:paraId="42AF1BDC" w14:textId="546BA46A" w:rsidR="00835C62" w:rsidRPr="008275B0" w:rsidRDefault="00835C62" w:rsidP="007B2F9D">
            <w:pPr>
              <w:pStyle w:val="af7"/>
              <w:jc w:val="center"/>
            </w:pPr>
            <w:r w:rsidRPr="008275B0">
              <w:t>2030</w:t>
            </w:r>
          </w:p>
        </w:tc>
        <w:tc>
          <w:tcPr>
            <w:tcW w:w="1842" w:type="dxa"/>
            <w:vAlign w:val="center"/>
          </w:tcPr>
          <w:p w14:paraId="61A48F34" w14:textId="4FBA57A4" w:rsidR="00835C62" w:rsidRPr="008275B0" w:rsidRDefault="00835C62" w:rsidP="007B2F9D">
            <w:pPr>
              <w:pStyle w:val="af7"/>
            </w:pPr>
            <w:r w:rsidRPr="008275B0">
              <w:t>Ответственный исполнитель</w:t>
            </w:r>
          </w:p>
        </w:tc>
      </w:tr>
      <w:tr w:rsidR="00834EE7" w:rsidRPr="008275B0" w14:paraId="1C3D1CCA" w14:textId="77777777" w:rsidTr="007B2F9D">
        <w:trPr>
          <w:trHeight w:val="470"/>
        </w:trPr>
        <w:tc>
          <w:tcPr>
            <w:tcW w:w="706" w:type="dxa"/>
            <w:vAlign w:val="center"/>
          </w:tcPr>
          <w:p w14:paraId="02043A96" w14:textId="2D842150" w:rsidR="00834EE7" w:rsidRPr="008275B0" w:rsidRDefault="007B2F9D" w:rsidP="007B2F9D">
            <w:pPr>
              <w:pStyle w:val="af7"/>
            </w:pPr>
            <w:r>
              <w:t>1.</w:t>
            </w:r>
          </w:p>
        </w:tc>
        <w:tc>
          <w:tcPr>
            <w:tcW w:w="14041" w:type="dxa"/>
            <w:gridSpan w:val="14"/>
            <w:vAlign w:val="center"/>
          </w:tcPr>
          <w:p w14:paraId="7A655364" w14:textId="1C5F4ABC" w:rsidR="00834EE7" w:rsidRPr="007B2F9D" w:rsidRDefault="00834EE7" w:rsidP="007B2F9D">
            <w:pPr>
              <w:pStyle w:val="af7"/>
              <w:jc w:val="center"/>
              <w:rPr>
                <w:sz w:val="24"/>
              </w:rPr>
            </w:pPr>
            <w:r w:rsidRPr="007B2F9D">
              <w:rPr>
                <w:b/>
                <w:sz w:val="24"/>
              </w:rPr>
              <w:t>Приоритет «</w:t>
            </w:r>
            <w:r w:rsidRPr="007B2F9D">
              <w:rPr>
                <w:b/>
                <w:sz w:val="24"/>
                <w:shd w:val="clear" w:color="auto" w:fill="FFFFFF"/>
              </w:rPr>
              <w:t>Накопление и сохранение человеческого капитала»</w:t>
            </w:r>
          </w:p>
        </w:tc>
      </w:tr>
      <w:tr w:rsidR="002F4AD5" w:rsidRPr="008275B0" w14:paraId="1A3A2976" w14:textId="77777777" w:rsidTr="002F4AD5">
        <w:trPr>
          <w:trHeight w:val="617"/>
        </w:trPr>
        <w:tc>
          <w:tcPr>
            <w:tcW w:w="706" w:type="dxa"/>
            <w:vAlign w:val="center"/>
          </w:tcPr>
          <w:p w14:paraId="7FE6282B" w14:textId="45DB88DA" w:rsidR="008275B0" w:rsidRPr="008275B0" w:rsidRDefault="007B2F9D" w:rsidP="007B2F9D">
            <w:pPr>
              <w:pStyle w:val="af7"/>
            </w:pPr>
            <w:r>
              <w:t>1.1.</w:t>
            </w:r>
          </w:p>
        </w:tc>
        <w:tc>
          <w:tcPr>
            <w:tcW w:w="2418" w:type="dxa"/>
            <w:vAlign w:val="center"/>
          </w:tcPr>
          <w:p w14:paraId="3B9FEF1C" w14:textId="65ABB11D" w:rsidR="008275B0" w:rsidRPr="008275B0" w:rsidRDefault="008275B0" w:rsidP="007B2F9D">
            <w:pPr>
              <w:pStyle w:val="af7"/>
            </w:pPr>
            <w:r w:rsidRPr="008275B0">
              <w:t>Численность постоянного населения (на конец года) - всего</w:t>
            </w:r>
          </w:p>
        </w:tc>
        <w:tc>
          <w:tcPr>
            <w:tcW w:w="850" w:type="dxa"/>
            <w:vAlign w:val="center"/>
          </w:tcPr>
          <w:p w14:paraId="01A4D7D2" w14:textId="73A12768" w:rsidR="008275B0" w:rsidRPr="008275B0" w:rsidRDefault="008275B0" w:rsidP="007B2F9D">
            <w:pPr>
              <w:pStyle w:val="af7"/>
              <w:jc w:val="center"/>
            </w:pPr>
            <w:r w:rsidRPr="008275B0">
              <w:t>чел.</w:t>
            </w:r>
          </w:p>
        </w:tc>
        <w:tc>
          <w:tcPr>
            <w:tcW w:w="851" w:type="dxa"/>
            <w:vAlign w:val="center"/>
          </w:tcPr>
          <w:p w14:paraId="2BF8542E" w14:textId="24E20BF3" w:rsidR="008275B0" w:rsidRPr="008275B0" w:rsidRDefault="008275B0" w:rsidP="007B2F9D">
            <w:pPr>
              <w:pStyle w:val="af7"/>
              <w:jc w:val="center"/>
            </w:pPr>
            <w:r w:rsidRPr="008275B0">
              <w:t>45215</w:t>
            </w:r>
          </w:p>
        </w:tc>
        <w:tc>
          <w:tcPr>
            <w:tcW w:w="850" w:type="dxa"/>
            <w:vAlign w:val="center"/>
          </w:tcPr>
          <w:p w14:paraId="70C227B9" w14:textId="0EF124D9" w:rsidR="008275B0" w:rsidRPr="008275B0" w:rsidRDefault="008275B0" w:rsidP="007B2F9D">
            <w:pPr>
              <w:pStyle w:val="af7"/>
              <w:jc w:val="center"/>
            </w:pPr>
            <w:r w:rsidRPr="008275B0">
              <w:t>45450</w:t>
            </w:r>
          </w:p>
        </w:tc>
        <w:tc>
          <w:tcPr>
            <w:tcW w:w="851" w:type="dxa"/>
            <w:vAlign w:val="center"/>
          </w:tcPr>
          <w:p w14:paraId="62E5018D" w14:textId="3C3B8FA5" w:rsidR="008275B0" w:rsidRPr="008275B0" w:rsidRDefault="008275B0" w:rsidP="007B2F9D">
            <w:pPr>
              <w:pStyle w:val="af7"/>
              <w:jc w:val="center"/>
            </w:pPr>
            <w:r w:rsidRPr="008275B0">
              <w:t>45830</w:t>
            </w:r>
          </w:p>
        </w:tc>
        <w:tc>
          <w:tcPr>
            <w:tcW w:w="850" w:type="dxa"/>
            <w:vAlign w:val="center"/>
          </w:tcPr>
          <w:p w14:paraId="44B4DFAE" w14:textId="5402867B" w:rsidR="008275B0" w:rsidRPr="008275B0" w:rsidRDefault="008275B0" w:rsidP="007B2F9D">
            <w:pPr>
              <w:pStyle w:val="af7"/>
              <w:jc w:val="center"/>
            </w:pPr>
            <w:r w:rsidRPr="008275B0">
              <w:t>46102</w:t>
            </w:r>
          </w:p>
        </w:tc>
        <w:tc>
          <w:tcPr>
            <w:tcW w:w="851" w:type="dxa"/>
            <w:vAlign w:val="center"/>
          </w:tcPr>
          <w:p w14:paraId="637AE6B1" w14:textId="4A374091" w:rsidR="008275B0" w:rsidRPr="008275B0" w:rsidRDefault="008275B0" w:rsidP="007B2F9D">
            <w:pPr>
              <w:pStyle w:val="af7"/>
              <w:jc w:val="center"/>
            </w:pPr>
            <w:r w:rsidRPr="008275B0">
              <w:t>46430</w:t>
            </w:r>
          </w:p>
        </w:tc>
        <w:tc>
          <w:tcPr>
            <w:tcW w:w="850" w:type="dxa"/>
            <w:vAlign w:val="center"/>
          </w:tcPr>
          <w:p w14:paraId="7CF10DE8" w14:textId="6C018AF0" w:rsidR="008275B0" w:rsidRPr="008275B0" w:rsidRDefault="008275B0" w:rsidP="007B2F9D">
            <w:pPr>
              <w:pStyle w:val="af7"/>
              <w:jc w:val="center"/>
            </w:pPr>
            <w:r w:rsidRPr="008275B0">
              <w:t>46541</w:t>
            </w:r>
          </w:p>
        </w:tc>
        <w:tc>
          <w:tcPr>
            <w:tcW w:w="843" w:type="dxa"/>
            <w:vAlign w:val="center"/>
          </w:tcPr>
          <w:p w14:paraId="46AF75EA" w14:textId="123C03E3" w:rsidR="008275B0" w:rsidRPr="008275B0" w:rsidRDefault="008275B0" w:rsidP="007B2F9D">
            <w:pPr>
              <w:pStyle w:val="af7"/>
              <w:jc w:val="center"/>
            </w:pPr>
            <w:r w:rsidRPr="008275B0">
              <w:t>47021</w:t>
            </w:r>
          </w:p>
        </w:tc>
        <w:tc>
          <w:tcPr>
            <w:tcW w:w="717" w:type="dxa"/>
            <w:vAlign w:val="center"/>
          </w:tcPr>
          <w:p w14:paraId="544B7CEE" w14:textId="236DE81E" w:rsidR="008275B0" w:rsidRPr="008275B0" w:rsidRDefault="008275B0" w:rsidP="007B2F9D">
            <w:pPr>
              <w:pStyle w:val="af7"/>
              <w:jc w:val="center"/>
            </w:pPr>
            <w:r w:rsidRPr="008275B0">
              <w:t>47512</w:t>
            </w:r>
          </w:p>
        </w:tc>
        <w:tc>
          <w:tcPr>
            <w:tcW w:w="759" w:type="dxa"/>
            <w:vAlign w:val="center"/>
          </w:tcPr>
          <w:p w14:paraId="6F049804" w14:textId="4A6E99C5" w:rsidR="008275B0" w:rsidRPr="008275B0" w:rsidRDefault="008275B0" w:rsidP="007B2F9D">
            <w:pPr>
              <w:pStyle w:val="af7"/>
              <w:jc w:val="center"/>
            </w:pPr>
            <w:r w:rsidRPr="008275B0">
              <w:t>47981</w:t>
            </w:r>
          </w:p>
        </w:tc>
        <w:tc>
          <w:tcPr>
            <w:tcW w:w="792" w:type="dxa"/>
            <w:vAlign w:val="center"/>
          </w:tcPr>
          <w:p w14:paraId="1E48BE54" w14:textId="100DF05D" w:rsidR="008275B0" w:rsidRPr="008275B0" w:rsidRDefault="008275B0" w:rsidP="007B2F9D">
            <w:pPr>
              <w:pStyle w:val="af7"/>
              <w:jc w:val="center"/>
            </w:pPr>
            <w:r w:rsidRPr="008275B0">
              <w:t>48463</w:t>
            </w:r>
          </w:p>
        </w:tc>
        <w:tc>
          <w:tcPr>
            <w:tcW w:w="717" w:type="dxa"/>
            <w:vAlign w:val="center"/>
          </w:tcPr>
          <w:p w14:paraId="67BA4D24" w14:textId="01CAD271" w:rsidR="008275B0" w:rsidRPr="008275B0" w:rsidRDefault="008275B0" w:rsidP="007B2F9D">
            <w:pPr>
              <w:pStyle w:val="af7"/>
              <w:jc w:val="center"/>
            </w:pPr>
            <w:r w:rsidRPr="008275B0">
              <w:t>50591</w:t>
            </w:r>
          </w:p>
        </w:tc>
        <w:tc>
          <w:tcPr>
            <w:tcW w:w="1842" w:type="dxa"/>
            <w:vMerge w:val="restart"/>
          </w:tcPr>
          <w:p w14:paraId="712E59DB" w14:textId="0A7F1D3B" w:rsidR="008275B0" w:rsidRPr="008275B0" w:rsidRDefault="008275B0" w:rsidP="007B2F9D">
            <w:pPr>
              <w:pStyle w:val="af7"/>
            </w:pPr>
            <w:r w:rsidRPr="008275B0">
              <w:t>Комитет по экономической политике и предпринимательству администрации Нефтеюганского района</w:t>
            </w:r>
          </w:p>
        </w:tc>
      </w:tr>
      <w:tr w:rsidR="002F4AD5" w:rsidRPr="008275B0" w14:paraId="0B7911F9" w14:textId="77777777" w:rsidTr="002F4AD5">
        <w:trPr>
          <w:trHeight w:val="617"/>
        </w:trPr>
        <w:tc>
          <w:tcPr>
            <w:tcW w:w="706" w:type="dxa"/>
            <w:vAlign w:val="center"/>
          </w:tcPr>
          <w:p w14:paraId="6E809E45" w14:textId="121DDE0D" w:rsidR="008275B0" w:rsidRPr="008275B0" w:rsidRDefault="007B2F9D" w:rsidP="007B2F9D">
            <w:pPr>
              <w:pStyle w:val="af7"/>
            </w:pPr>
            <w:r>
              <w:t>1.2.</w:t>
            </w:r>
          </w:p>
        </w:tc>
        <w:tc>
          <w:tcPr>
            <w:tcW w:w="2418" w:type="dxa"/>
            <w:vAlign w:val="center"/>
          </w:tcPr>
          <w:p w14:paraId="5744A3B8" w14:textId="51BDCF52" w:rsidR="008275B0" w:rsidRPr="008275B0" w:rsidRDefault="008275B0" w:rsidP="007B2F9D">
            <w:pPr>
              <w:pStyle w:val="af7"/>
            </w:pPr>
            <w:r w:rsidRPr="008275B0">
              <w:t>Ожидаемая продолжительность жизни при рождении, мужчины</w:t>
            </w:r>
          </w:p>
        </w:tc>
        <w:tc>
          <w:tcPr>
            <w:tcW w:w="850" w:type="dxa"/>
            <w:vAlign w:val="center"/>
          </w:tcPr>
          <w:p w14:paraId="7F499DFC" w14:textId="79C7508E" w:rsidR="008275B0" w:rsidRPr="008275B0" w:rsidRDefault="008275B0" w:rsidP="007B2F9D">
            <w:pPr>
              <w:pStyle w:val="af7"/>
              <w:jc w:val="center"/>
            </w:pPr>
            <w:r w:rsidRPr="008275B0">
              <w:t>лет</w:t>
            </w:r>
          </w:p>
        </w:tc>
        <w:tc>
          <w:tcPr>
            <w:tcW w:w="851" w:type="dxa"/>
            <w:vAlign w:val="center"/>
          </w:tcPr>
          <w:p w14:paraId="463ECC13" w14:textId="5FB7E269" w:rsidR="008275B0" w:rsidRPr="008275B0" w:rsidRDefault="008275B0" w:rsidP="007B2F9D">
            <w:pPr>
              <w:pStyle w:val="af7"/>
              <w:jc w:val="center"/>
            </w:pPr>
            <w:r w:rsidRPr="008275B0">
              <w:t>64,2</w:t>
            </w:r>
          </w:p>
        </w:tc>
        <w:tc>
          <w:tcPr>
            <w:tcW w:w="850" w:type="dxa"/>
            <w:vAlign w:val="center"/>
          </w:tcPr>
          <w:p w14:paraId="7227D4BC" w14:textId="3E51F5C1" w:rsidR="008275B0" w:rsidRPr="008275B0" w:rsidRDefault="008275B0" w:rsidP="007B2F9D">
            <w:pPr>
              <w:pStyle w:val="af7"/>
              <w:jc w:val="center"/>
            </w:pPr>
            <w:r w:rsidRPr="008275B0">
              <w:t>66,0</w:t>
            </w:r>
          </w:p>
        </w:tc>
        <w:tc>
          <w:tcPr>
            <w:tcW w:w="851" w:type="dxa"/>
            <w:vAlign w:val="center"/>
          </w:tcPr>
          <w:p w14:paraId="7C9AFCC9" w14:textId="3BFA42CF" w:rsidR="008275B0" w:rsidRPr="008275B0" w:rsidRDefault="008275B0" w:rsidP="007B2F9D">
            <w:pPr>
              <w:pStyle w:val="af7"/>
              <w:jc w:val="center"/>
            </w:pPr>
            <w:r w:rsidRPr="008275B0">
              <w:t>66,0</w:t>
            </w:r>
          </w:p>
        </w:tc>
        <w:tc>
          <w:tcPr>
            <w:tcW w:w="850" w:type="dxa"/>
            <w:vAlign w:val="center"/>
          </w:tcPr>
          <w:p w14:paraId="1A2C7E3A" w14:textId="0AE1D72B" w:rsidR="008275B0" w:rsidRPr="008275B0" w:rsidRDefault="008275B0" w:rsidP="007B2F9D">
            <w:pPr>
              <w:pStyle w:val="af7"/>
              <w:jc w:val="center"/>
            </w:pPr>
            <w:r w:rsidRPr="008275B0">
              <w:t>66,0</w:t>
            </w:r>
          </w:p>
        </w:tc>
        <w:tc>
          <w:tcPr>
            <w:tcW w:w="851" w:type="dxa"/>
            <w:vAlign w:val="center"/>
          </w:tcPr>
          <w:p w14:paraId="7D191659" w14:textId="66973EAA" w:rsidR="008275B0" w:rsidRPr="008275B0" w:rsidRDefault="008275B0" w:rsidP="007B2F9D">
            <w:pPr>
              <w:pStyle w:val="af7"/>
              <w:jc w:val="center"/>
            </w:pPr>
            <w:r w:rsidRPr="008275B0">
              <w:t>66,0</w:t>
            </w:r>
          </w:p>
        </w:tc>
        <w:tc>
          <w:tcPr>
            <w:tcW w:w="850" w:type="dxa"/>
            <w:vAlign w:val="center"/>
          </w:tcPr>
          <w:p w14:paraId="467B3D75" w14:textId="2525F7DC" w:rsidR="008275B0" w:rsidRPr="008275B0" w:rsidRDefault="008275B0" w:rsidP="007B2F9D">
            <w:pPr>
              <w:pStyle w:val="af7"/>
              <w:jc w:val="center"/>
            </w:pPr>
            <w:r w:rsidRPr="008275B0">
              <w:t>66,0</w:t>
            </w:r>
          </w:p>
        </w:tc>
        <w:tc>
          <w:tcPr>
            <w:tcW w:w="843" w:type="dxa"/>
            <w:vAlign w:val="center"/>
          </w:tcPr>
          <w:p w14:paraId="00F1855A" w14:textId="41F95248" w:rsidR="008275B0" w:rsidRPr="008275B0" w:rsidRDefault="008275B0" w:rsidP="007B2F9D">
            <w:pPr>
              <w:pStyle w:val="af7"/>
              <w:jc w:val="center"/>
            </w:pPr>
            <w:r w:rsidRPr="008275B0">
              <w:t>66,7</w:t>
            </w:r>
          </w:p>
        </w:tc>
        <w:tc>
          <w:tcPr>
            <w:tcW w:w="717" w:type="dxa"/>
            <w:vAlign w:val="center"/>
          </w:tcPr>
          <w:p w14:paraId="4C958AFC" w14:textId="7FEAD0F4" w:rsidR="008275B0" w:rsidRPr="008275B0" w:rsidRDefault="008275B0" w:rsidP="007B2F9D">
            <w:pPr>
              <w:pStyle w:val="af7"/>
              <w:jc w:val="center"/>
            </w:pPr>
            <w:r w:rsidRPr="008275B0">
              <w:t>66,7</w:t>
            </w:r>
          </w:p>
        </w:tc>
        <w:tc>
          <w:tcPr>
            <w:tcW w:w="759" w:type="dxa"/>
            <w:vAlign w:val="center"/>
          </w:tcPr>
          <w:p w14:paraId="2001D5B8" w14:textId="5267B10C" w:rsidR="008275B0" w:rsidRPr="008275B0" w:rsidRDefault="008275B0" w:rsidP="007B2F9D">
            <w:pPr>
              <w:pStyle w:val="af7"/>
              <w:jc w:val="center"/>
            </w:pPr>
            <w:r w:rsidRPr="008275B0">
              <w:t>66,7</w:t>
            </w:r>
          </w:p>
        </w:tc>
        <w:tc>
          <w:tcPr>
            <w:tcW w:w="792" w:type="dxa"/>
            <w:vAlign w:val="center"/>
          </w:tcPr>
          <w:p w14:paraId="0170AF91" w14:textId="6AA64E45" w:rsidR="008275B0" w:rsidRPr="008275B0" w:rsidRDefault="008275B0" w:rsidP="007B2F9D">
            <w:pPr>
              <w:pStyle w:val="af7"/>
              <w:jc w:val="center"/>
            </w:pPr>
            <w:r w:rsidRPr="008275B0">
              <w:t>66,7</w:t>
            </w:r>
          </w:p>
        </w:tc>
        <w:tc>
          <w:tcPr>
            <w:tcW w:w="717" w:type="dxa"/>
            <w:vAlign w:val="center"/>
          </w:tcPr>
          <w:p w14:paraId="5B0BF83C" w14:textId="1AE23893" w:rsidR="008275B0" w:rsidRPr="008275B0" w:rsidRDefault="008275B0" w:rsidP="007B2F9D">
            <w:pPr>
              <w:pStyle w:val="af7"/>
              <w:jc w:val="center"/>
            </w:pPr>
            <w:r w:rsidRPr="008275B0">
              <w:t>67,9</w:t>
            </w:r>
          </w:p>
        </w:tc>
        <w:tc>
          <w:tcPr>
            <w:tcW w:w="1842" w:type="dxa"/>
            <w:vMerge/>
            <w:vAlign w:val="center"/>
          </w:tcPr>
          <w:p w14:paraId="753EF63A" w14:textId="77777777" w:rsidR="008275B0" w:rsidRPr="008275B0" w:rsidRDefault="008275B0" w:rsidP="007B2F9D">
            <w:pPr>
              <w:pStyle w:val="af7"/>
            </w:pPr>
          </w:p>
        </w:tc>
      </w:tr>
      <w:tr w:rsidR="002F4AD5" w:rsidRPr="008275B0" w14:paraId="5F72E09F" w14:textId="77777777" w:rsidTr="002F4AD5">
        <w:trPr>
          <w:trHeight w:val="617"/>
        </w:trPr>
        <w:tc>
          <w:tcPr>
            <w:tcW w:w="706" w:type="dxa"/>
            <w:vAlign w:val="center"/>
          </w:tcPr>
          <w:p w14:paraId="5BA717E1" w14:textId="1EDC5DCF" w:rsidR="008275B0" w:rsidRPr="008275B0" w:rsidRDefault="007B2F9D" w:rsidP="007B2F9D">
            <w:pPr>
              <w:pStyle w:val="af7"/>
            </w:pPr>
            <w:r>
              <w:t>1.3.</w:t>
            </w:r>
          </w:p>
        </w:tc>
        <w:tc>
          <w:tcPr>
            <w:tcW w:w="2418" w:type="dxa"/>
            <w:vAlign w:val="center"/>
          </w:tcPr>
          <w:p w14:paraId="344BE709" w14:textId="5A503444" w:rsidR="008275B0" w:rsidRPr="008275B0" w:rsidRDefault="008275B0" w:rsidP="007B2F9D">
            <w:pPr>
              <w:pStyle w:val="af7"/>
            </w:pPr>
            <w:r w:rsidRPr="008275B0">
              <w:t>Ожидаемая продолжительность жизни при рождении, женщины</w:t>
            </w:r>
          </w:p>
        </w:tc>
        <w:tc>
          <w:tcPr>
            <w:tcW w:w="850" w:type="dxa"/>
            <w:vAlign w:val="center"/>
          </w:tcPr>
          <w:p w14:paraId="5EEB0502" w14:textId="0C78D294" w:rsidR="008275B0" w:rsidRPr="008275B0" w:rsidRDefault="008275B0" w:rsidP="007B2F9D">
            <w:pPr>
              <w:pStyle w:val="af7"/>
              <w:jc w:val="center"/>
            </w:pPr>
            <w:r w:rsidRPr="008275B0">
              <w:t>лет</w:t>
            </w:r>
          </w:p>
        </w:tc>
        <w:tc>
          <w:tcPr>
            <w:tcW w:w="851" w:type="dxa"/>
            <w:vAlign w:val="center"/>
          </w:tcPr>
          <w:p w14:paraId="792BF52A" w14:textId="3EEC4EAB" w:rsidR="008275B0" w:rsidRPr="008275B0" w:rsidRDefault="008275B0" w:rsidP="007B2F9D">
            <w:pPr>
              <w:pStyle w:val="af7"/>
              <w:jc w:val="center"/>
            </w:pPr>
            <w:r w:rsidRPr="008275B0">
              <w:t>73,8</w:t>
            </w:r>
          </w:p>
        </w:tc>
        <w:tc>
          <w:tcPr>
            <w:tcW w:w="850" w:type="dxa"/>
            <w:vAlign w:val="center"/>
          </w:tcPr>
          <w:p w14:paraId="26694B7D" w14:textId="39A5FECD" w:rsidR="008275B0" w:rsidRPr="008275B0" w:rsidRDefault="008275B0" w:rsidP="007B2F9D">
            <w:pPr>
              <w:pStyle w:val="af7"/>
              <w:jc w:val="center"/>
            </w:pPr>
            <w:r w:rsidRPr="008275B0">
              <w:t>75</w:t>
            </w:r>
            <w:r w:rsidRPr="008275B0">
              <w:rPr>
                <w:lang w:val="en-US"/>
              </w:rPr>
              <w:t>,</w:t>
            </w:r>
            <w:r w:rsidRPr="008275B0">
              <w:t>7</w:t>
            </w:r>
          </w:p>
        </w:tc>
        <w:tc>
          <w:tcPr>
            <w:tcW w:w="851" w:type="dxa"/>
            <w:vAlign w:val="center"/>
          </w:tcPr>
          <w:p w14:paraId="3081BE5F" w14:textId="2BF89892" w:rsidR="008275B0" w:rsidRPr="008275B0" w:rsidRDefault="008275B0" w:rsidP="007B2F9D">
            <w:pPr>
              <w:pStyle w:val="af7"/>
              <w:jc w:val="center"/>
            </w:pPr>
            <w:r w:rsidRPr="008275B0">
              <w:t>75</w:t>
            </w:r>
            <w:r w:rsidRPr="008275B0">
              <w:rPr>
                <w:lang w:val="en-US"/>
              </w:rPr>
              <w:t>,</w:t>
            </w:r>
            <w:r w:rsidRPr="008275B0">
              <w:t>7</w:t>
            </w:r>
          </w:p>
        </w:tc>
        <w:tc>
          <w:tcPr>
            <w:tcW w:w="850" w:type="dxa"/>
            <w:vAlign w:val="center"/>
          </w:tcPr>
          <w:p w14:paraId="7C7112AE" w14:textId="7B01E9CF" w:rsidR="008275B0" w:rsidRPr="008275B0" w:rsidRDefault="008275B0" w:rsidP="007B2F9D">
            <w:pPr>
              <w:pStyle w:val="af7"/>
              <w:jc w:val="center"/>
            </w:pPr>
            <w:r w:rsidRPr="008275B0">
              <w:t>75</w:t>
            </w:r>
            <w:r w:rsidRPr="008275B0">
              <w:rPr>
                <w:lang w:val="en-US"/>
              </w:rPr>
              <w:t>,</w:t>
            </w:r>
            <w:r w:rsidRPr="008275B0">
              <w:t>7</w:t>
            </w:r>
          </w:p>
        </w:tc>
        <w:tc>
          <w:tcPr>
            <w:tcW w:w="851" w:type="dxa"/>
            <w:vAlign w:val="center"/>
          </w:tcPr>
          <w:p w14:paraId="18E6AB0E" w14:textId="4492B9CD" w:rsidR="008275B0" w:rsidRPr="008275B0" w:rsidRDefault="008275B0" w:rsidP="007B2F9D">
            <w:pPr>
              <w:pStyle w:val="af7"/>
              <w:jc w:val="center"/>
            </w:pPr>
            <w:r w:rsidRPr="008275B0">
              <w:t>75,7</w:t>
            </w:r>
          </w:p>
        </w:tc>
        <w:tc>
          <w:tcPr>
            <w:tcW w:w="850" w:type="dxa"/>
            <w:vAlign w:val="center"/>
          </w:tcPr>
          <w:p w14:paraId="643CE5B7" w14:textId="23CB4971" w:rsidR="008275B0" w:rsidRPr="008275B0" w:rsidRDefault="008275B0" w:rsidP="007B2F9D">
            <w:pPr>
              <w:pStyle w:val="af7"/>
              <w:jc w:val="center"/>
            </w:pPr>
            <w:r w:rsidRPr="008275B0">
              <w:t>75,7</w:t>
            </w:r>
          </w:p>
        </w:tc>
        <w:tc>
          <w:tcPr>
            <w:tcW w:w="843" w:type="dxa"/>
            <w:vAlign w:val="center"/>
          </w:tcPr>
          <w:p w14:paraId="0F458F13" w14:textId="040D19B7" w:rsidR="008275B0" w:rsidRPr="008275B0" w:rsidRDefault="008275B0" w:rsidP="007B2F9D">
            <w:pPr>
              <w:pStyle w:val="af7"/>
              <w:jc w:val="center"/>
            </w:pPr>
            <w:r w:rsidRPr="008275B0">
              <w:t>77,0</w:t>
            </w:r>
          </w:p>
        </w:tc>
        <w:tc>
          <w:tcPr>
            <w:tcW w:w="717" w:type="dxa"/>
            <w:vAlign w:val="center"/>
          </w:tcPr>
          <w:p w14:paraId="7A8E8D76" w14:textId="6E7E2847" w:rsidR="008275B0" w:rsidRPr="008275B0" w:rsidRDefault="008275B0" w:rsidP="007B2F9D">
            <w:pPr>
              <w:pStyle w:val="af7"/>
              <w:jc w:val="center"/>
            </w:pPr>
            <w:r w:rsidRPr="008275B0">
              <w:t>77,0</w:t>
            </w:r>
          </w:p>
        </w:tc>
        <w:tc>
          <w:tcPr>
            <w:tcW w:w="759" w:type="dxa"/>
            <w:vAlign w:val="center"/>
          </w:tcPr>
          <w:p w14:paraId="49D5E599" w14:textId="2DBF535B" w:rsidR="008275B0" w:rsidRPr="008275B0" w:rsidRDefault="008275B0" w:rsidP="007B2F9D">
            <w:pPr>
              <w:pStyle w:val="af7"/>
              <w:jc w:val="center"/>
            </w:pPr>
            <w:r w:rsidRPr="008275B0">
              <w:t>77,0</w:t>
            </w:r>
          </w:p>
        </w:tc>
        <w:tc>
          <w:tcPr>
            <w:tcW w:w="792" w:type="dxa"/>
            <w:vAlign w:val="center"/>
          </w:tcPr>
          <w:p w14:paraId="2DD5F0A1" w14:textId="78F51466" w:rsidR="008275B0" w:rsidRPr="008275B0" w:rsidRDefault="008275B0" w:rsidP="007B2F9D">
            <w:pPr>
              <w:pStyle w:val="af7"/>
              <w:jc w:val="center"/>
            </w:pPr>
            <w:r w:rsidRPr="008275B0">
              <w:t>77,0</w:t>
            </w:r>
          </w:p>
        </w:tc>
        <w:tc>
          <w:tcPr>
            <w:tcW w:w="717" w:type="dxa"/>
            <w:vAlign w:val="center"/>
          </w:tcPr>
          <w:p w14:paraId="037D265C" w14:textId="79EE3F88" w:rsidR="008275B0" w:rsidRPr="008275B0" w:rsidRDefault="008275B0" w:rsidP="007B2F9D">
            <w:pPr>
              <w:pStyle w:val="af7"/>
              <w:jc w:val="center"/>
            </w:pPr>
            <w:r w:rsidRPr="008275B0">
              <w:t>78,0</w:t>
            </w:r>
          </w:p>
        </w:tc>
        <w:tc>
          <w:tcPr>
            <w:tcW w:w="1842" w:type="dxa"/>
            <w:vMerge/>
            <w:vAlign w:val="center"/>
          </w:tcPr>
          <w:p w14:paraId="7335510A" w14:textId="77777777" w:rsidR="008275B0" w:rsidRPr="008275B0" w:rsidRDefault="008275B0" w:rsidP="007B2F9D">
            <w:pPr>
              <w:pStyle w:val="af7"/>
            </w:pPr>
          </w:p>
        </w:tc>
      </w:tr>
      <w:tr w:rsidR="002F4AD5" w:rsidRPr="008275B0" w14:paraId="00360BF4" w14:textId="77777777" w:rsidTr="002F4AD5">
        <w:trPr>
          <w:trHeight w:val="617"/>
        </w:trPr>
        <w:tc>
          <w:tcPr>
            <w:tcW w:w="706" w:type="dxa"/>
            <w:vAlign w:val="center"/>
          </w:tcPr>
          <w:p w14:paraId="079C5876" w14:textId="070793D0" w:rsidR="008275B0" w:rsidRPr="008275B0" w:rsidRDefault="007B2F9D" w:rsidP="007B2F9D">
            <w:pPr>
              <w:pStyle w:val="af7"/>
            </w:pPr>
            <w:r>
              <w:t>1.4.</w:t>
            </w:r>
          </w:p>
        </w:tc>
        <w:tc>
          <w:tcPr>
            <w:tcW w:w="2418" w:type="dxa"/>
            <w:vAlign w:val="center"/>
          </w:tcPr>
          <w:p w14:paraId="13FA58DA" w14:textId="78229810" w:rsidR="008275B0" w:rsidRPr="008275B0" w:rsidRDefault="008275B0" w:rsidP="007B2F9D">
            <w:pPr>
              <w:pStyle w:val="af7"/>
            </w:pPr>
            <w:r w:rsidRPr="008275B0">
              <w:t>Коэффициент младенческой смертности (на 1000)</w:t>
            </w:r>
          </w:p>
        </w:tc>
        <w:tc>
          <w:tcPr>
            <w:tcW w:w="850" w:type="dxa"/>
            <w:vAlign w:val="center"/>
          </w:tcPr>
          <w:p w14:paraId="062F4D39" w14:textId="62308789" w:rsidR="008275B0" w:rsidRPr="008275B0" w:rsidRDefault="008275B0" w:rsidP="007B2F9D">
            <w:pPr>
              <w:pStyle w:val="af7"/>
              <w:jc w:val="center"/>
            </w:pPr>
            <w:r w:rsidRPr="008275B0">
              <w:t>промилле</w:t>
            </w:r>
          </w:p>
        </w:tc>
        <w:tc>
          <w:tcPr>
            <w:tcW w:w="851" w:type="dxa"/>
            <w:vAlign w:val="center"/>
          </w:tcPr>
          <w:p w14:paraId="5FB24A7A" w14:textId="0D061D5F" w:rsidR="008275B0" w:rsidRPr="008275B0" w:rsidRDefault="008275B0" w:rsidP="007B2F9D">
            <w:pPr>
              <w:pStyle w:val="af7"/>
              <w:jc w:val="center"/>
            </w:pPr>
            <w:r w:rsidRPr="008275B0">
              <w:t>3,6</w:t>
            </w:r>
          </w:p>
        </w:tc>
        <w:tc>
          <w:tcPr>
            <w:tcW w:w="850" w:type="dxa"/>
            <w:vAlign w:val="center"/>
          </w:tcPr>
          <w:p w14:paraId="55E00672" w14:textId="51A8CABB" w:rsidR="008275B0" w:rsidRPr="008275B0" w:rsidRDefault="008275B0" w:rsidP="007B2F9D">
            <w:pPr>
              <w:pStyle w:val="af7"/>
              <w:jc w:val="center"/>
            </w:pPr>
            <w:r w:rsidRPr="008275B0">
              <w:t>3,0</w:t>
            </w:r>
          </w:p>
        </w:tc>
        <w:tc>
          <w:tcPr>
            <w:tcW w:w="851" w:type="dxa"/>
            <w:vAlign w:val="center"/>
          </w:tcPr>
          <w:p w14:paraId="0E641696" w14:textId="6F5AB954" w:rsidR="008275B0" w:rsidRPr="008275B0" w:rsidRDefault="008275B0" w:rsidP="007B2F9D">
            <w:pPr>
              <w:pStyle w:val="af7"/>
              <w:jc w:val="center"/>
            </w:pPr>
            <w:r w:rsidRPr="008275B0">
              <w:t>3,0</w:t>
            </w:r>
          </w:p>
        </w:tc>
        <w:tc>
          <w:tcPr>
            <w:tcW w:w="850" w:type="dxa"/>
            <w:vAlign w:val="center"/>
          </w:tcPr>
          <w:p w14:paraId="30C343CC" w14:textId="0684BDA3" w:rsidR="008275B0" w:rsidRPr="008275B0" w:rsidRDefault="008275B0" w:rsidP="007B2F9D">
            <w:pPr>
              <w:pStyle w:val="af7"/>
              <w:jc w:val="center"/>
            </w:pPr>
            <w:r w:rsidRPr="008275B0">
              <w:t>3,0</w:t>
            </w:r>
          </w:p>
        </w:tc>
        <w:tc>
          <w:tcPr>
            <w:tcW w:w="851" w:type="dxa"/>
            <w:vAlign w:val="center"/>
          </w:tcPr>
          <w:p w14:paraId="4E0CB1A4" w14:textId="21A7ACE1" w:rsidR="008275B0" w:rsidRPr="008275B0" w:rsidRDefault="008275B0" w:rsidP="007B2F9D">
            <w:pPr>
              <w:pStyle w:val="af7"/>
              <w:jc w:val="center"/>
            </w:pPr>
            <w:r w:rsidRPr="008275B0">
              <w:t>3,0</w:t>
            </w:r>
          </w:p>
        </w:tc>
        <w:tc>
          <w:tcPr>
            <w:tcW w:w="850" w:type="dxa"/>
            <w:vAlign w:val="center"/>
          </w:tcPr>
          <w:p w14:paraId="5807B3D3" w14:textId="3673C22E" w:rsidR="008275B0" w:rsidRPr="008275B0" w:rsidRDefault="008275B0" w:rsidP="007B2F9D">
            <w:pPr>
              <w:pStyle w:val="af7"/>
              <w:jc w:val="center"/>
            </w:pPr>
            <w:r w:rsidRPr="008275B0">
              <w:t>3,0</w:t>
            </w:r>
          </w:p>
        </w:tc>
        <w:tc>
          <w:tcPr>
            <w:tcW w:w="843" w:type="dxa"/>
            <w:vAlign w:val="center"/>
          </w:tcPr>
          <w:p w14:paraId="3A8A77ED" w14:textId="53409AAC" w:rsidR="008275B0" w:rsidRPr="008275B0" w:rsidRDefault="008275B0" w:rsidP="007B2F9D">
            <w:pPr>
              <w:pStyle w:val="af7"/>
              <w:jc w:val="center"/>
            </w:pPr>
            <w:r w:rsidRPr="008275B0">
              <w:t>2,0</w:t>
            </w:r>
          </w:p>
        </w:tc>
        <w:tc>
          <w:tcPr>
            <w:tcW w:w="717" w:type="dxa"/>
            <w:vAlign w:val="center"/>
          </w:tcPr>
          <w:p w14:paraId="6D278381" w14:textId="29D6459E" w:rsidR="008275B0" w:rsidRPr="008275B0" w:rsidRDefault="008275B0" w:rsidP="007B2F9D">
            <w:pPr>
              <w:pStyle w:val="af7"/>
              <w:jc w:val="center"/>
            </w:pPr>
            <w:r w:rsidRPr="008275B0">
              <w:t>2,0</w:t>
            </w:r>
          </w:p>
        </w:tc>
        <w:tc>
          <w:tcPr>
            <w:tcW w:w="759" w:type="dxa"/>
            <w:vAlign w:val="center"/>
          </w:tcPr>
          <w:p w14:paraId="1FECE5D9" w14:textId="67A0B8B1" w:rsidR="008275B0" w:rsidRPr="008275B0" w:rsidRDefault="008275B0" w:rsidP="007B2F9D">
            <w:pPr>
              <w:pStyle w:val="af7"/>
              <w:jc w:val="center"/>
            </w:pPr>
            <w:r w:rsidRPr="008275B0">
              <w:t>2,0</w:t>
            </w:r>
          </w:p>
        </w:tc>
        <w:tc>
          <w:tcPr>
            <w:tcW w:w="792" w:type="dxa"/>
            <w:vAlign w:val="center"/>
          </w:tcPr>
          <w:p w14:paraId="5E3A8495" w14:textId="23798BC3" w:rsidR="008275B0" w:rsidRPr="008275B0" w:rsidRDefault="008275B0" w:rsidP="007B2F9D">
            <w:pPr>
              <w:pStyle w:val="af7"/>
              <w:jc w:val="center"/>
            </w:pPr>
            <w:r w:rsidRPr="008275B0">
              <w:t>2,0</w:t>
            </w:r>
          </w:p>
        </w:tc>
        <w:tc>
          <w:tcPr>
            <w:tcW w:w="717" w:type="dxa"/>
            <w:vAlign w:val="center"/>
          </w:tcPr>
          <w:p w14:paraId="05FD1E4D" w14:textId="7F62BD55" w:rsidR="008275B0" w:rsidRPr="008275B0" w:rsidRDefault="008275B0" w:rsidP="007B2F9D">
            <w:pPr>
              <w:pStyle w:val="af7"/>
              <w:jc w:val="center"/>
            </w:pPr>
            <w:r w:rsidRPr="008275B0">
              <w:t>1,0</w:t>
            </w:r>
          </w:p>
        </w:tc>
        <w:tc>
          <w:tcPr>
            <w:tcW w:w="1842" w:type="dxa"/>
            <w:vMerge/>
            <w:vAlign w:val="center"/>
          </w:tcPr>
          <w:p w14:paraId="5A801F1A" w14:textId="77777777" w:rsidR="008275B0" w:rsidRPr="008275B0" w:rsidRDefault="008275B0" w:rsidP="007B2F9D">
            <w:pPr>
              <w:pStyle w:val="af7"/>
            </w:pPr>
          </w:p>
        </w:tc>
      </w:tr>
      <w:tr w:rsidR="002F4AD5" w:rsidRPr="008275B0" w14:paraId="4B677374" w14:textId="77777777" w:rsidTr="002F4AD5">
        <w:trPr>
          <w:trHeight w:val="617"/>
        </w:trPr>
        <w:tc>
          <w:tcPr>
            <w:tcW w:w="706" w:type="dxa"/>
            <w:vAlign w:val="center"/>
          </w:tcPr>
          <w:p w14:paraId="040B48B6" w14:textId="48BE3C39" w:rsidR="008275B0" w:rsidRPr="008275B0" w:rsidRDefault="007B2F9D" w:rsidP="007B2F9D">
            <w:pPr>
              <w:pStyle w:val="af7"/>
            </w:pPr>
            <w:r>
              <w:t>1.5.</w:t>
            </w:r>
          </w:p>
        </w:tc>
        <w:tc>
          <w:tcPr>
            <w:tcW w:w="2418" w:type="dxa"/>
            <w:vAlign w:val="center"/>
          </w:tcPr>
          <w:p w14:paraId="3FF11288" w14:textId="08BF9069" w:rsidR="008275B0" w:rsidRPr="008275B0" w:rsidRDefault="008275B0" w:rsidP="007B2F9D">
            <w:pPr>
              <w:pStyle w:val="af7"/>
            </w:pPr>
            <w:r w:rsidRPr="008275B0">
              <w:t>Ежегодное число прибывших</w:t>
            </w:r>
          </w:p>
        </w:tc>
        <w:tc>
          <w:tcPr>
            <w:tcW w:w="850" w:type="dxa"/>
            <w:vAlign w:val="center"/>
          </w:tcPr>
          <w:p w14:paraId="1E60CFE3" w14:textId="5233C27E" w:rsidR="008275B0" w:rsidRPr="008275B0" w:rsidRDefault="008275B0" w:rsidP="007B2F9D">
            <w:pPr>
              <w:pStyle w:val="af7"/>
              <w:jc w:val="center"/>
            </w:pPr>
            <w:r w:rsidRPr="008275B0">
              <w:t>чел.</w:t>
            </w:r>
          </w:p>
        </w:tc>
        <w:tc>
          <w:tcPr>
            <w:tcW w:w="851" w:type="dxa"/>
            <w:vAlign w:val="center"/>
          </w:tcPr>
          <w:p w14:paraId="03140133" w14:textId="6A51956C" w:rsidR="008275B0" w:rsidRPr="008275B0" w:rsidRDefault="008275B0" w:rsidP="007B2F9D">
            <w:pPr>
              <w:pStyle w:val="af7"/>
              <w:jc w:val="center"/>
            </w:pPr>
            <w:r w:rsidRPr="008275B0">
              <w:t>2591</w:t>
            </w:r>
          </w:p>
        </w:tc>
        <w:tc>
          <w:tcPr>
            <w:tcW w:w="850" w:type="dxa"/>
            <w:vAlign w:val="center"/>
          </w:tcPr>
          <w:p w14:paraId="317EAAD0" w14:textId="56DE31A4" w:rsidR="008275B0" w:rsidRPr="008275B0" w:rsidRDefault="008275B0" w:rsidP="007B2F9D">
            <w:pPr>
              <w:pStyle w:val="af7"/>
              <w:jc w:val="center"/>
            </w:pPr>
            <w:r w:rsidRPr="008275B0">
              <w:t>2700</w:t>
            </w:r>
          </w:p>
        </w:tc>
        <w:tc>
          <w:tcPr>
            <w:tcW w:w="851" w:type="dxa"/>
            <w:vAlign w:val="center"/>
          </w:tcPr>
          <w:p w14:paraId="636BCAA0" w14:textId="7076B6FE" w:rsidR="008275B0" w:rsidRPr="008275B0" w:rsidRDefault="008275B0" w:rsidP="007B2F9D">
            <w:pPr>
              <w:pStyle w:val="af7"/>
              <w:jc w:val="center"/>
            </w:pPr>
            <w:r w:rsidRPr="008275B0">
              <w:t>2700</w:t>
            </w:r>
          </w:p>
        </w:tc>
        <w:tc>
          <w:tcPr>
            <w:tcW w:w="850" w:type="dxa"/>
            <w:vAlign w:val="center"/>
          </w:tcPr>
          <w:p w14:paraId="39493D88" w14:textId="155712E8" w:rsidR="008275B0" w:rsidRPr="008275B0" w:rsidRDefault="008275B0" w:rsidP="007B2F9D">
            <w:pPr>
              <w:pStyle w:val="af7"/>
              <w:jc w:val="center"/>
            </w:pPr>
            <w:r w:rsidRPr="008275B0">
              <w:t>2700</w:t>
            </w:r>
          </w:p>
        </w:tc>
        <w:tc>
          <w:tcPr>
            <w:tcW w:w="851" w:type="dxa"/>
            <w:vAlign w:val="center"/>
          </w:tcPr>
          <w:p w14:paraId="49CA6957" w14:textId="73252A83" w:rsidR="008275B0" w:rsidRPr="008275B0" w:rsidRDefault="008275B0" w:rsidP="007B2F9D">
            <w:pPr>
              <w:pStyle w:val="af7"/>
              <w:jc w:val="center"/>
            </w:pPr>
            <w:r w:rsidRPr="008275B0">
              <w:t>2700</w:t>
            </w:r>
          </w:p>
        </w:tc>
        <w:tc>
          <w:tcPr>
            <w:tcW w:w="850" w:type="dxa"/>
            <w:vAlign w:val="center"/>
          </w:tcPr>
          <w:p w14:paraId="75380DC3" w14:textId="73DCD6AD" w:rsidR="008275B0" w:rsidRPr="008275B0" w:rsidRDefault="008275B0" w:rsidP="007B2F9D">
            <w:pPr>
              <w:pStyle w:val="af7"/>
              <w:jc w:val="center"/>
            </w:pPr>
            <w:r w:rsidRPr="008275B0">
              <w:t>2700</w:t>
            </w:r>
          </w:p>
        </w:tc>
        <w:tc>
          <w:tcPr>
            <w:tcW w:w="843" w:type="dxa"/>
            <w:vAlign w:val="center"/>
          </w:tcPr>
          <w:p w14:paraId="0274E5E8" w14:textId="7A24AB0C" w:rsidR="008275B0" w:rsidRPr="008275B0" w:rsidRDefault="008275B0" w:rsidP="007B2F9D">
            <w:pPr>
              <w:pStyle w:val="af7"/>
              <w:jc w:val="center"/>
            </w:pPr>
            <w:r w:rsidRPr="008275B0">
              <w:t>2900</w:t>
            </w:r>
          </w:p>
        </w:tc>
        <w:tc>
          <w:tcPr>
            <w:tcW w:w="717" w:type="dxa"/>
            <w:vAlign w:val="center"/>
          </w:tcPr>
          <w:p w14:paraId="59A4B6B1" w14:textId="6BC2E378" w:rsidR="008275B0" w:rsidRPr="008275B0" w:rsidRDefault="008275B0" w:rsidP="007B2F9D">
            <w:pPr>
              <w:pStyle w:val="af7"/>
              <w:jc w:val="center"/>
            </w:pPr>
            <w:r w:rsidRPr="008275B0">
              <w:t>2900</w:t>
            </w:r>
          </w:p>
        </w:tc>
        <w:tc>
          <w:tcPr>
            <w:tcW w:w="759" w:type="dxa"/>
            <w:vAlign w:val="center"/>
          </w:tcPr>
          <w:p w14:paraId="1F019419" w14:textId="2E9D5307" w:rsidR="008275B0" w:rsidRPr="008275B0" w:rsidRDefault="008275B0" w:rsidP="007B2F9D">
            <w:pPr>
              <w:pStyle w:val="af7"/>
              <w:jc w:val="center"/>
            </w:pPr>
            <w:r w:rsidRPr="008275B0">
              <w:t>2900</w:t>
            </w:r>
          </w:p>
        </w:tc>
        <w:tc>
          <w:tcPr>
            <w:tcW w:w="792" w:type="dxa"/>
            <w:vAlign w:val="center"/>
          </w:tcPr>
          <w:p w14:paraId="1A9B4DDD" w14:textId="648704B0" w:rsidR="008275B0" w:rsidRPr="008275B0" w:rsidRDefault="008275B0" w:rsidP="007B2F9D">
            <w:pPr>
              <w:pStyle w:val="af7"/>
              <w:jc w:val="center"/>
            </w:pPr>
            <w:r w:rsidRPr="008275B0">
              <w:t>2900</w:t>
            </w:r>
          </w:p>
        </w:tc>
        <w:tc>
          <w:tcPr>
            <w:tcW w:w="717" w:type="dxa"/>
            <w:vAlign w:val="center"/>
          </w:tcPr>
          <w:p w14:paraId="5306D566" w14:textId="2ACBC947" w:rsidR="008275B0" w:rsidRPr="008275B0" w:rsidRDefault="008275B0" w:rsidP="007B2F9D">
            <w:pPr>
              <w:pStyle w:val="af7"/>
              <w:jc w:val="center"/>
            </w:pPr>
            <w:r w:rsidRPr="008275B0">
              <w:t>3000</w:t>
            </w:r>
          </w:p>
        </w:tc>
        <w:tc>
          <w:tcPr>
            <w:tcW w:w="1842" w:type="dxa"/>
            <w:vMerge/>
            <w:vAlign w:val="center"/>
          </w:tcPr>
          <w:p w14:paraId="48359A26" w14:textId="77777777" w:rsidR="008275B0" w:rsidRPr="008275B0" w:rsidRDefault="008275B0" w:rsidP="007B2F9D">
            <w:pPr>
              <w:pStyle w:val="af7"/>
            </w:pPr>
          </w:p>
        </w:tc>
      </w:tr>
      <w:tr w:rsidR="002F4AD5" w:rsidRPr="008275B0" w14:paraId="4949D554" w14:textId="77777777" w:rsidTr="002F4AD5">
        <w:trPr>
          <w:trHeight w:val="617"/>
        </w:trPr>
        <w:tc>
          <w:tcPr>
            <w:tcW w:w="706" w:type="dxa"/>
            <w:vAlign w:val="center"/>
          </w:tcPr>
          <w:p w14:paraId="56E4835F" w14:textId="4519303F" w:rsidR="008275B0" w:rsidRPr="008275B0" w:rsidRDefault="007B2F9D" w:rsidP="007B2F9D">
            <w:pPr>
              <w:pStyle w:val="af7"/>
            </w:pPr>
            <w:r>
              <w:t>1.6.</w:t>
            </w:r>
          </w:p>
        </w:tc>
        <w:tc>
          <w:tcPr>
            <w:tcW w:w="2418" w:type="dxa"/>
            <w:vAlign w:val="center"/>
          </w:tcPr>
          <w:p w14:paraId="1790A722" w14:textId="65965B74" w:rsidR="008275B0" w:rsidRPr="008275B0" w:rsidRDefault="008275B0" w:rsidP="007B2F9D">
            <w:pPr>
              <w:pStyle w:val="af7"/>
            </w:pPr>
            <w:r w:rsidRPr="008275B0">
              <w:t>Численность детей в ДОУ</w:t>
            </w:r>
          </w:p>
        </w:tc>
        <w:tc>
          <w:tcPr>
            <w:tcW w:w="850" w:type="dxa"/>
            <w:vAlign w:val="center"/>
          </w:tcPr>
          <w:p w14:paraId="2368921A" w14:textId="2CFF5A8A" w:rsidR="008275B0" w:rsidRPr="008275B0" w:rsidRDefault="008275B0" w:rsidP="007B2F9D">
            <w:pPr>
              <w:pStyle w:val="af7"/>
              <w:jc w:val="center"/>
            </w:pPr>
            <w:r w:rsidRPr="008275B0">
              <w:t>чел.</w:t>
            </w:r>
          </w:p>
        </w:tc>
        <w:tc>
          <w:tcPr>
            <w:tcW w:w="851" w:type="dxa"/>
            <w:vAlign w:val="center"/>
          </w:tcPr>
          <w:p w14:paraId="7DB9C59C" w14:textId="1C574368" w:rsidR="008275B0" w:rsidRPr="008275B0" w:rsidRDefault="008275B0" w:rsidP="007B2F9D">
            <w:pPr>
              <w:pStyle w:val="af7"/>
              <w:jc w:val="center"/>
            </w:pPr>
            <w:r w:rsidRPr="008275B0">
              <w:t>2363</w:t>
            </w:r>
          </w:p>
        </w:tc>
        <w:tc>
          <w:tcPr>
            <w:tcW w:w="850" w:type="dxa"/>
            <w:vAlign w:val="center"/>
          </w:tcPr>
          <w:p w14:paraId="5ADEED87" w14:textId="5AC1BF93" w:rsidR="008275B0" w:rsidRPr="008275B0" w:rsidRDefault="008275B0" w:rsidP="007B2F9D">
            <w:pPr>
              <w:pStyle w:val="af7"/>
              <w:jc w:val="center"/>
            </w:pPr>
            <w:r w:rsidRPr="008275B0">
              <w:t>2507</w:t>
            </w:r>
          </w:p>
        </w:tc>
        <w:tc>
          <w:tcPr>
            <w:tcW w:w="851" w:type="dxa"/>
            <w:vAlign w:val="center"/>
          </w:tcPr>
          <w:p w14:paraId="354B37A0" w14:textId="59BBD65C" w:rsidR="008275B0" w:rsidRPr="008275B0" w:rsidRDefault="008275B0" w:rsidP="007B2F9D">
            <w:pPr>
              <w:pStyle w:val="af7"/>
              <w:jc w:val="center"/>
            </w:pPr>
            <w:r w:rsidRPr="008275B0">
              <w:t>2605</w:t>
            </w:r>
          </w:p>
        </w:tc>
        <w:tc>
          <w:tcPr>
            <w:tcW w:w="850" w:type="dxa"/>
            <w:vAlign w:val="center"/>
          </w:tcPr>
          <w:p w14:paraId="21A1B7F7" w14:textId="161B5CEB" w:rsidR="008275B0" w:rsidRPr="008275B0" w:rsidRDefault="008275B0" w:rsidP="007B2F9D">
            <w:pPr>
              <w:pStyle w:val="af7"/>
              <w:jc w:val="center"/>
            </w:pPr>
            <w:r w:rsidRPr="008275B0">
              <w:t>2720</w:t>
            </w:r>
          </w:p>
        </w:tc>
        <w:tc>
          <w:tcPr>
            <w:tcW w:w="851" w:type="dxa"/>
            <w:vAlign w:val="center"/>
          </w:tcPr>
          <w:p w14:paraId="541B331B" w14:textId="2C11BB24" w:rsidR="008275B0" w:rsidRPr="008275B0" w:rsidRDefault="008275B0" w:rsidP="007B2F9D">
            <w:pPr>
              <w:pStyle w:val="af7"/>
              <w:jc w:val="center"/>
            </w:pPr>
            <w:r w:rsidRPr="008275B0">
              <w:t>2833</w:t>
            </w:r>
          </w:p>
        </w:tc>
        <w:tc>
          <w:tcPr>
            <w:tcW w:w="850" w:type="dxa"/>
            <w:vAlign w:val="center"/>
          </w:tcPr>
          <w:p w14:paraId="32846B60" w14:textId="3F450E86" w:rsidR="008275B0" w:rsidRPr="008275B0" w:rsidRDefault="008275B0" w:rsidP="007B2F9D">
            <w:pPr>
              <w:pStyle w:val="af7"/>
              <w:jc w:val="center"/>
            </w:pPr>
            <w:r w:rsidRPr="008275B0">
              <w:t>2913</w:t>
            </w:r>
          </w:p>
        </w:tc>
        <w:tc>
          <w:tcPr>
            <w:tcW w:w="843" w:type="dxa"/>
            <w:vAlign w:val="center"/>
          </w:tcPr>
          <w:p w14:paraId="1D18102D" w14:textId="574AF83B" w:rsidR="008275B0" w:rsidRPr="008275B0" w:rsidRDefault="008275B0" w:rsidP="007B2F9D">
            <w:pPr>
              <w:pStyle w:val="af7"/>
              <w:jc w:val="center"/>
            </w:pPr>
            <w:r w:rsidRPr="008275B0">
              <w:t>3014</w:t>
            </w:r>
          </w:p>
        </w:tc>
        <w:tc>
          <w:tcPr>
            <w:tcW w:w="717" w:type="dxa"/>
            <w:vAlign w:val="center"/>
          </w:tcPr>
          <w:p w14:paraId="3F316112" w14:textId="7221C932" w:rsidR="008275B0" w:rsidRPr="008275B0" w:rsidRDefault="008275B0" w:rsidP="007B2F9D">
            <w:pPr>
              <w:pStyle w:val="af7"/>
              <w:jc w:val="center"/>
            </w:pPr>
            <w:r w:rsidRPr="008275B0">
              <w:t>3089</w:t>
            </w:r>
          </w:p>
        </w:tc>
        <w:tc>
          <w:tcPr>
            <w:tcW w:w="759" w:type="dxa"/>
            <w:vAlign w:val="center"/>
          </w:tcPr>
          <w:p w14:paraId="6465B765" w14:textId="1530743C" w:rsidR="008275B0" w:rsidRPr="008275B0" w:rsidRDefault="008275B0" w:rsidP="007B2F9D">
            <w:pPr>
              <w:pStyle w:val="af7"/>
              <w:jc w:val="center"/>
            </w:pPr>
            <w:r w:rsidRPr="008275B0">
              <w:t>3187</w:t>
            </w:r>
          </w:p>
        </w:tc>
        <w:tc>
          <w:tcPr>
            <w:tcW w:w="792" w:type="dxa"/>
            <w:vAlign w:val="center"/>
          </w:tcPr>
          <w:p w14:paraId="2D397EF3" w14:textId="7EE7D904" w:rsidR="008275B0" w:rsidRPr="008275B0" w:rsidRDefault="008275B0" w:rsidP="007B2F9D">
            <w:pPr>
              <w:pStyle w:val="af7"/>
              <w:jc w:val="center"/>
            </w:pPr>
            <w:r w:rsidRPr="008275B0">
              <w:t>3291</w:t>
            </w:r>
          </w:p>
        </w:tc>
        <w:tc>
          <w:tcPr>
            <w:tcW w:w="717" w:type="dxa"/>
            <w:vAlign w:val="center"/>
          </w:tcPr>
          <w:p w14:paraId="11C80147" w14:textId="1F7D69A3" w:rsidR="008275B0" w:rsidRPr="008275B0" w:rsidRDefault="008275B0" w:rsidP="007B2F9D">
            <w:pPr>
              <w:pStyle w:val="af7"/>
              <w:jc w:val="center"/>
            </w:pPr>
            <w:r w:rsidRPr="008275B0">
              <w:t>3618</w:t>
            </w:r>
          </w:p>
        </w:tc>
        <w:tc>
          <w:tcPr>
            <w:tcW w:w="1842" w:type="dxa"/>
            <w:vMerge w:val="restart"/>
          </w:tcPr>
          <w:p w14:paraId="40E5C1D5" w14:textId="66DC3745" w:rsidR="008275B0" w:rsidRPr="008275B0" w:rsidRDefault="008275B0" w:rsidP="007B2F9D">
            <w:pPr>
              <w:pStyle w:val="af7"/>
            </w:pPr>
            <w:r w:rsidRPr="008275B0">
              <w:t>Департамент образования и молодежной политики администрации Нефтеюганского района</w:t>
            </w:r>
          </w:p>
        </w:tc>
      </w:tr>
      <w:tr w:rsidR="002F4AD5" w:rsidRPr="008275B0" w14:paraId="06A53288" w14:textId="77777777" w:rsidTr="002F4AD5">
        <w:trPr>
          <w:trHeight w:val="617"/>
        </w:trPr>
        <w:tc>
          <w:tcPr>
            <w:tcW w:w="706" w:type="dxa"/>
            <w:vAlign w:val="center"/>
          </w:tcPr>
          <w:p w14:paraId="42BA76A3" w14:textId="725CBD0C" w:rsidR="008275B0" w:rsidRPr="008275B0" w:rsidRDefault="007B2F9D" w:rsidP="007B2F9D">
            <w:pPr>
              <w:pStyle w:val="af7"/>
            </w:pPr>
            <w:r>
              <w:t>1.7.</w:t>
            </w:r>
          </w:p>
        </w:tc>
        <w:tc>
          <w:tcPr>
            <w:tcW w:w="2418" w:type="dxa"/>
            <w:vAlign w:val="center"/>
          </w:tcPr>
          <w:p w14:paraId="0666177F" w14:textId="60210448" w:rsidR="008275B0" w:rsidRPr="008275B0" w:rsidRDefault="008275B0" w:rsidP="007B2F9D">
            <w:pPr>
              <w:pStyle w:val="af7"/>
            </w:pPr>
            <w:r w:rsidRPr="008275B0">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w:t>
            </w:r>
            <w:r w:rsidRPr="008275B0">
              <w:lastRenderedPageBreak/>
              <w:t>численности детей в возрасте 1-6 лет</w:t>
            </w:r>
          </w:p>
        </w:tc>
        <w:tc>
          <w:tcPr>
            <w:tcW w:w="850" w:type="dxa"/>
            <w:vAlign w:val="center"/>
          </w:tcPr>
          <w:p w14:paraId="15A0132B" w14:textId="6DAE1957" w:rsidR="008275B0" w:rsidRPr="008275B0" w:rsidRDefault="008275B0" w:rsidP="007B2F9D">
            <w:pPr>
              <w:pStyle w:val="af7"/>
              <w:jc w:val="center"/>
            </w:pPr>
            <w:r w:rsidRPr="008275B0">
              <w:lastRenderedPageBreak/>
              <w:t>%</w:t>
            </w:r>
          </w:p>
        </w:tc>
        <w:tc>
          <w:tcPr>
            <w:tcW w:w="851" w:type="dxa"/>
            <w:vAlign w:val="center"/>
          </w:tcPr>
          <w:p w14:paraId="390C1CA8" w14:textId="32FFBFF2" w:rsidR="008275B0" w:rsidRPr="008275B0" w:rsidRDefault="008275B0" w:rsidP="007B2F9D">
            <w:pPr>
              <w:pStyle w:val="af7"/>
              <w:jc w:val="center"/>
            </w:pPr>
            <w:r w:rsidRPr="008275B0">
              <w:t>0,61</w:t>
            </w:r>
          </w:p>
        </w:tc>
        <w:tc>
          <w:tcPr>
            <w:tcW w:w="850" w:type="dxa"/>
            <w:vAlign w:val="center"/>
          </w:tcPr>
          <w:p w14:paraId="20B4302D" w14:textId="2028346B" w:rsidR="008275B0" w:rsidRPr="008275B0" w:rsidRDefault="008275B0" w:rsidP="007B2F9D">
            <w:pPr>
              <w:pStyle w:val="af7"/>
              <w:jc w:val="center"/>
            </w:pPr>
            <w:r w:rsidRPr="008275B0">
              <w:t>0,61</w:t>
            </w:r>
          </w:p>
        </w:tc>
        <w:tc>
          <w:tcPr>
            <w:tcW w:w="851" w:type="dxa"/>
            <w:vAlign w:val="center"/>
          </w:tcPr>
          <w:p w14:paraId="3BA8EB57" w14:textId="59A501F6" w:rsidR="008275B0" w:rsidRPr="008275B0" w:rsidRDefault="008275B0" w:rsidP="007B2F9D">
            <w:pPr>
              <w:pStyle w:val="af7"/>
              <w:jc w:val="center"/>
            </w:pPr>
            <w:r w:rsidRPr="008275B0">
              <w:t>0,62</w:t>
            </w:r>
          </w:p>
        </w:tc>
        <w:tc>
          <w:tcPr>
            <w:tcW w:w="850" w:type="dxa"/>
            <w:vAlign w:val="center"/>
          </w:tcPr>
          <w:p w14:paraId="5A593CE6" w14:textId="2A49170E" w:rsidR="008275B0" w:rsidRPr="008275B0" w:rsidRDefault="008275B0" w:rsidP="007B2F9D">
            <w:pPr>
              <w:pStyle w:val="af7"/>
              <w:jc w:val="center"/>
            </w:pPr>
            <w:r w:rsidRPr="008275B0">
              <w:t>0,62</w:t>
            </w:r>
          </w:p>
        </w:tc>
        <w:tc>
          <w:tcPr>
            <w:tcW w:w="851" w:type="dxa"/>
            <w:vAlign w:val="center"/>
          </w:tcPr>
          <w:p w14:paraId="2C822AA8" w14:textId="76EDB3E2" w:rsidR="008275B0" w:rsidRPr="008275B0" w:rsidRDefault="008275B0" w:rsidP="007B2F9D">
            <w:pPr>
              <w:pStyle w:val="af7"/>
              <w:jc w:val="center"/>
            </w:pPr>
            <w:r w:rsidRPr="008275B0">
              <w:t>0,63</w:t>
            </w:r>
          </w:p>
        </w:tc>
        <w:tc>
          <w:tcPr>
            <w:tcW w:w="850" w:type="dxa"/>
            <w:vAlign w:val="center"/>
          </w:tcPr>
          <w:p w14:paraId="18AB467A" w14:textId="591E270D" w:rsidR="008275B0" w:rsidRPr="008275B0" w:rsidRDefault="008275B0" w:rsidP="007B2F9D">
            <w:pPr>
              <w:pStyle w:val="af7"/>
              <w:jc w:val="center"/>
            </w:pPr>
            <w:r w:rsidRPr="008275B0">
              <w:t>0,64</w:t>
            </w:r>
          </w:p>
        </w:tc>
        <w:tc>
          <w:tcPr>
            <w:tcW w:w="843" w:type="dxa"/>
            <w:vAlign w:val="center"/>
          </w:tcPr>
          <w:p w14:paraId="7DBB68D2" w14:textId="79EE16B1" w:rsidR="008275B0" w:rsidRPr="008275B0" w:rsidRDefault="008275B0" w:rsidP="007B2F9D">
            <w:pPr>
              <w:pStyle w:val="af7"/>
              <w:jc w:val="center"/>
            </w:pPr>
            <w:r w:rsidRPr="008275B0">
              <w:t>0,65</w:t>
            </w:r>
          </w:p>
        </w:tc>
        <w:tc>
          <w:tcPr>
            <w:tcW w:w="717" w:type="dxa"/>
            <w:vAlign w:val="center"/>
          </w:tcPr>
          <w:p w14:paraId="19B12A77" w14:textId="41C3E3AA" w:rsidR="008275B0" w:rsidRPr="008275B0" w:rsidRDefault="008275B0" w:rsidP="007B2F9D">
            <w:pPr>
              <w:pStyle w:val="af7"/>
              <w:jc w:val="center"/>
            </w:pPr>
            <w:r w:rsidRPr="008275B0">
              <w:t>0,65</w:t>
            </w:r>
          </w:p>
        </w:tc>
        <w:tc>
          <w:tcPr>
            <w:tcW w:w="759" w:type="dxa"/>
            <w:vAlign w:val="center"/>
          </w:tcPr>
          <w:p w14:paraId="3CB6D98B" w14:textId="44FD15D1" w:rsidR="008275B0" w:rsidRPr="008275B0" w:rsidRDefault="008275B0" w:rsidP="007B2F9D">
            <w:pPr>
              <w:pStyle w:val="af7"/>
              <w:jc w:val="center"/>
            </w:pPr>
            <w:r w:rsidRPr="008275B0">
              <w:t>0,66</w:t>
            </w:r>
          </w:p>
        </w:tc>
        <w:tc>
          <w:tcPr>
            <w:tcW w:w="792" w:type="dxa"/>
            <w:vAlign w:val="center"/>
          </w:tcPr>
          <w:p w14:paraId="4DC479D2" w14:textId="3732E859" w:rsidR="008275B0" w:rsidRPr="008275B0" w:rsidRDefault="008275B0" w:rsidP="007B2F9D">
            <w:pPr>
              <w:pStyle w:val="af7"/>
              <w:jc w:val="center"/>
            </w:pPr>
            <w:r w:rsidRPr="008275B0">
              <w:t>0,67</w:t>
            </w:r>
          </w:p>
        </w:tc>
        <w:tc>
          <w:tcPr>
            <w:tcW w:w="717" w:type="dxa"/>
            <w:vAlign w:val="center"/>
          </w:tcPr>
          <w:p w14:paraId="05823C58" w14:textId="5C475286" w:rsidR="008275B0" w:rsidRPr="008275B0" w:rsidRDefault="008275B0" w:rsidP="007B2F9D">
            <w:pPr>
              <w:pStyle w:val="af7"/>
              <w:jc w:val="center"/>
            </w:pPr>
            <w:r w:rsidRPr="008275B0">
              <w:t>0,7</w:t>
            </w:r>
          </w:p>
        </w:tc>
        <w:tc>
          <w:tcPr>
            <w:tcW w:w="1842" w:type="dxa"/>
            <w:vMerge/>
            <w:vAlign w:val="center"/>
          </w:tcPr>
          <w:p w14:paraId="7051A148" w14:textId="77777777" w:rsidR="008275B0" w:rsidRPr="008275B0" w:rsidRDefault="008275B0" w:rsidP="007B2F9D">
            <w:pPr>
              <w:pStyle w:val="af7"/>
            </w:pPr>
          </w:p>
        </w:tc>
      </w:tr>
      <w:tr w:rsidR="002F4AD5" w:rsidRPr="008275B0" w14:paraId="322850F8" w14:textId="77777777" w:rsidTr="002F4AD5">
        <w:trPr>
          <w:trHeight w:val="617"/>
        </w:trPr>
        <w:tc>
          <w:tcPr>
            <w:tcW w:w="706" w:type="dxa"/>
            <w:vAlign w:val="center"/>
          </w:tcPr>
          <w:p w14:paraId="681A246C" w14:textId="63CB4D99" w:rsidR="008275B0" w:rsidRPr="008275B0" w:rsidRDefault="007B2F9D" w:rsidP="007B2F9D">
            <w:pPr>
              <w:pStyle w:val="af7"/>
            </w:pPr>
            <w:r>
              <w:lastRenderedPageBreak/>
              <w:t>1.8.</w:t>
            </w:r>
          </w:p>
        </w:tc>
        <w:tc>
          <w:tcPr>
            <w:tcW w:w="2418" w:type="dxa"/>
            <w:vAlign w:val="center"/>
          </w:tcPr>
          <w:p w14:paraId="4DF42C0F" w14:textId="11AFEB53" w:rsidR="008275B0" w:rsidRPr="008275B0" w:rsidRDefault="008275B0" w:rsidP="007B2F9D">
            <w:pPr>
              <w:pStyle w:val="af7"/>
            </w:pPr>
            <w:r w:rsidRPr="008275B0">
              <w:t>Численность обучающихся в школах</w:t>
            </w:r>
          </w:p>
        </w:tc>
        <w:tc>
          <w:tcPr>
            <w:tcW w:w="850" w:type="dxa"/>
            <w:vAlign w:val="center"/>
          </w:tcPr>
          <w:p w14:paraId="2B4B19B6" w14:textId="24E3803B" w:rsidR="008275B0" w:rsidRPr="008275B0" w:rsidRDefault="008275B0" w:rsidP="007B2F9D">
            <w:pPr>
              <w:pStyle w:val="af7"/>
              <w:jc w:val="center"/>
            </w:pPr>
            <w:r w:rsidRPr="008275B0">
              <w:t>Чел.</w:t>
            </w:r>
          </w:p>
        </w:tc>
        <w:tc>
          <w:tcPr>
            <w:tcW w:w="851" w:type="dxa"/>
            <w:vAlign w:val="center"/>
          </w:tcPr>
          <w:p w14:paraId="7B2621EC" w14:textId="46BB304C" w:rsidR="008275B0" w:rsidRPr="008275B0" w:rsidRDefault="008275B0" w:rsidP="007B2F9D">
            <w:pPr>
              <w:pStyle w:val="af7"/>
              <w:jc w:val="center"/>
            </w:pPr>
            <w:r w:rsidRPr="008275B0">
              <w:t>4858</w:t>
            </w:r>
          </w:p>
        </w:tc>
        <w:tc>
          <w:tcPr>
            <w:tcW w:w="850" w:type="dxa"/>
            <w:vAlign w:val="center"/>
          </w:tcPr>
          <w:p w14:paraId="00F04D87" w14:textId="1638BDC9" w:rsidR="008275B0" w:rsidRPr="008275B0" w:rsidRDefault="008275B0" w:rsidP="007B2F9D">
            <w:pPr>
              <w:pStyle w:val="af7"/>
              <w:jc w:val="center"/>
            </w:pPr>
            <w:r w:rsidRPr="008275B0">
              <w:t>4915</w:t>
            </w:r>
          </w:p>
        </w:tc>
        <w:tc>
          <w:tcPr>
            <w:tcW w:w="851" w:type="dxa"/>
            <w:vAlign w:val="center"/>
          </w:tcPr>
          <w:p w14:paraId="1DDAF203" w14:textId="4D9CA848" w:rsidR="008275B0" w:rsidRPr="008275B0" w:rsidRDefault="008275B0" w:rsidP="007B2F9D">
            <w:pPr>
              <w:pStyle w:val="af7"/>
              <w:jc w:val="center"/>
            </w:pPr>
            <w:r w:rsidRPr="008275B0">
              <w:t>4945</w:t>
            </w:r>
          </w:p>
        </w:tc>
        <w:tc>
          <w:tcPr>
            <w:tcW w:w="850" w:type="dxa"/>
            <w:vAlign w:val="center"/>
          </w:tcPr>
          <w:p w14:paraId="738318E2" w14:textId="0DF0B0DE" w:rsidR="008275B0" w:rsidRPr="008275B0" w:rsidRDefault="008275B0" w:rsidP="007B2F9D">
            <w:pPr>
              <w:pStyle w:val="af7"/>
              <w:jc w:val="center"/>
            </w:pPr>
            <w:r w:rsidRPr="008275B0">
              <w:t>4973</w:t>
            </w:r>
          </w:p>
        </w:tc>
        <w:tc>
          <w:tcPr>
            <w:tcW w:w="851" w:type="dxa"/>
            <w:vAlign w:val="center"/>
          </w:tcPr>
          <w:p w14:paraId="075E797F" w14:textId="2BB21E05" w:rsidR="008275B0" w:rsidRPr="008275B0" w:rsidRDefault="008275B0" w:rsidP="007B2F9D">
            <w:pPr>
              <w:pStyle w:val="af7"/>
              <w:jc w:val="center"/>
            </w:pPr>
            <w:r w:rsidRPr="008275B0">
              <w:t>4989</w:t>
            </w:r>
          </w:p>
        </w:tc>
        <w:tc>
          <w:tcPr>
            <w:tcW w:w="850" w:type="dxa"/>
            <w:vAlign w:val="center"/>
          </w:tcPr>
          <w:p w14:paraId="4E67C1D8" w14:textId="6B366175" w:rsidR="008275B0" w:rsidRPr="008275B0" w:rsidRDefault="008275B0" w:rsidP="007B2F9D">
            <w:pPr>
              <w:pStyle w:val="af7"/>
              <w:jc w:val="center"/>
            </w:pPr>
            <w:r w:rsidRPr="008275B0">
              <w:t>4989</w:t>
            </w:r>
          </w:p>
        </w:tc>
        <w:tc>
          <w:tcPr>
            <w:tcW w:w="843" w:type="dxa"/>
            <w:vAlign w:val="center"/>
          </w:tcPr>
          <w:p w14:paraId="7D846AF5" w14:textId="2045B5D3" w:rsidR="008275B0" w:rsidRPr="008275B0" w:rsidRDefault="008275B0" w:rsidP="007B2F9D">
            <w:pPr>
              <w:pStyle w:val="af7"/>
              <w:jc w:val="center"/>
            </w:pPr>
            <w:r w:rsidRPr="008275B0">
              <w:t>4989</w:t>
            </w:r>
          </w:p>
        </w:tc>
        <w:tc>
          <w:tcPr>
            <w:tcW w:w="717" w:type="dxa"/>
            <w:vAlign w:val="center"/>
          </w:tcPr>
          <w:p w14:paraId="5C0843FF" w14:textId="2D5D1DEB" w:rsidR="008275B0" w:rsidRPr="008275B0" w:rsidRDefault="008275B0" w:rsidP="007B2F9D">
            <w:pPr>
              <w:pStyle w:val="af7"/>
              <w:jc w:val="center"/>
            </w:pPr>
            <w:r w:rsidRPr="008275B0">
              <w:t>4989</w:t>
            </w:r>
          </w:p>
        </w:tc>
        <w:tc>
          <w:tcPr>
            <w:tcW w:w="759" w:type="dxa"/>
            <w:vAlign w:val="center"/>
          </w:tcPr>
          <w:p w14:paraId="44256561" w14:textId="68519809" w:rsidR="008275B0" w:rsidRPr="008275B0" w:rsidRDefault="008275B0" w:rsidP="007B2F9D">
            <w:pPr>
              <w:pStyle w:val="af7"/>
              <w:jc w:val="center"/>
            </w:pPr>
            <w:r w:rsidRPr="008275B0">
              <w:t>4989</w:t>
            </w:r>
          </w:p>
        </w:tc>
        <w:tc>
          <w:tcPr>
            <w:tcW w:w="792" w:type="dxa"/>
            <w:vAlign w:val="center"/>
          </w:tcPr>
          <w:p w14:paraId="69AF089C" w14:textId="1D427F0B" w:rsidR="008275B0" w:rsidRPr="008275B0" w:rsidRDefault="008275B0" w:rsidP="007B2F9D">
            <w:pPr>
              <w:pStyle w:val="af7"/>
              <w:jc w:val="center"/>
            </w:pPr>
            <w:r w:rsidRPr="008275B0">
              <w:t>5053</w:t>
            </w:r>
          </w:p>
        </w:tc>
        <w:tc>
          <w:tcPr>
            <w:tcW w:w="717" w:type="dxa"/>
            <w:vAlign w:val="center"/>
          </w:tcPr>
          <w:p w14:paraId="7AEA48B9" w14:textId="1B108072" w:rsidR="008275B0" w:rsidRPr="008275B0" w:rsidRDefault="008275B0" w:rsidP="007B2F9D">
            <w:pPr>
              <w:pStyle w:val="af7"/>
              <w:jc w:val="center"/>
            </w:pPr>
            <w:r w:rsidRPr="008275B0">
              <w:t>5148</w:t>
            </w:r>
          </w:p>
        </w:tc>
        <w:tc>
          <w:tcPr>
            <w:tcW w:w="1842" w:type="dxa"/>
            <w:vMerge/>
            <w:vAlign w:val="center"/>
          </w:tcPr>
          <w:p w14:paraId="08F4CB4F" w14:textId="77777777" w:rsidR="008275B0" w:rsidRPr="008275B0" w:rsidRDefault="008275B0" w:rsidP="007B2F9D">
            <w:pPr>
              <w:pStyle w:val="af7"/>
            </w:pPr>
          </w:p>
        </w:tc>
      </w:tr>
      <w:tr w:rsidR="002F4AD5" w:rsidRPr="008275B0" w14:paraId="60E98C19" w14:textId="77777777" w:rsidTr="002F4AD5">
        <w:trPr>
          <w:trHeight w:val="617"/>
        </w:trPr>
        <w:tc>
          <w:tcPr>
            <w:tcW w:w="706" w:type="dxa"/>
            <w:vAlign w:val="center"/>
          </w:tcPr>
          <w:p w14:paraId="5FCDFEDF" w14:textId="096CC778" w:rsidR="008275B0" w:rsidRPr="008275B0" w:rsidRDefault="007B2F9D" w:rsidP="007B2F9D">
            <w:pPr>
              <w:pStyle w:val="af7"/>
            </w:pPr>
            <w:r>
              <w:t>1.9.</w:t>
            </w:r>
          </w:p>
        </w:tc>
        <w:tc>
          <w:tcPr>
            <w:tcW w:w="2418" w:type="dxa"/>
            <w:vAlign w:val="center"/>
          </w:tcPr>
          <w:p w14:paraId="7CB7A512" w14:textId="00D3718B" w:rsidR="008275B0" w:rsidRPr="008275B0" w:rsidRDefault="008275B0" w:rsidP="007B2F9D">
            <w:pPr>
              <w:pStyle w:val="af7"/>
            </w:pPr>
            <w:r w:rsidRPr="008275B0">
              <w:t>Уровень обеспеченности врачами, городское население</w:t>
            </w:r>
          </w:p>
        </w:tc>
        <w:tc>
          <w:tcPr>
            <w:tcW w:w="850" w:type="dxa"/>
            <w:vAlign w:val="center"/>
          </w:tcPr>
          <w:p w14:paraId="4AB78875" w14:textId="77777777" w:rsidR="008275B0" w:rsidRPr="008275B0" w:rsidRDefault="008275B0" w:rsidP="007B2F9D">
            <w:pPr>
              <w:pStyle w:val="af7"/>
              <w:jc w:val="center"/>
            </w:pPr>
            <w:r w:rsidRPr="008275B0">
              <w:t>чел. на 10 тыс.</w:t>
            </w:r>
          </w:p>
          <w:p w14:paraId="2C44B19B" w14:textId="7DFADBB9" w:rsidR="008275B0" w:rsidRPr="008275B0" w:rsidRDefault="008275B0" w:rsidP="007B2F9D">
            <w:pPr>
              <w:pStyle w:val="af7"/>
              <w:jc w:val="center"/>
            </w:pPr>
            <w:r w:rsidRPr="008275B0">
              <w:t>населения</w:t>
            </w:r>
          </w:p>
        </w:tc>
        <w:tc>
          <w:tcPr>
            <w:tcW w:w="851" w:type="dxa"/>
            <w:vAlign w:val="center"/>
          </w:tcPr>
          <w:p w14:paraId="625E49C5" w14:textId="255E9C2F" w:rsidR="008275B0" w:rsidRPr="008275B0" w:rsidRDefault="008275B0" w:rsidP="007B2F9D">
            <w:pPr>
              <w:pStyle w:val="af7"/>
              <w:jc w:val="center"/>
            </w:pPr>
            <w:r w:rsidRPr="008275B0">
              <w:t>36,6</w:t>
            </w:r>
          </w:p>
        </w:tc>
        <w:tc>
          <w:tcPr>
            <w:tcW w:w="850" w:type="dxa"/>
            <w:vAlign w:val="center"/>
          </w:tcPr>
          <w:p w14:paraId="5640E8D3" w14:textId="791819CA" w:rsidR="008275B0" w:rsidRPr="008275B0" w:rsidRDefault="008275B0" w:rsidP="007B2F9D">
            <w:pPr>
              <w:pStyle w:val="af7"/>
              <w:jc w:val="center"/>
            </w:pPr>
            <w:r w:rsidRPr="008275B0">
              <w:t>36,6</w:t>
            </w:r>
          </w:p>
        </w:tc>
        <w:tc>
          <w:tcPr>
            <w:tcW w:w="851" w:type="dxa"/>
            <w:vAlign w:val="center"/>
          </w:tcPr>
          <w:p w14:paraId="1330D3D3" w14:textId="65BDFEE7" w:rsidR="008275B0" w:rsidRPr="008275B0" w:rsidRDefault="008275B0" w:rsidP="007B2F9D">
            <w:pPr>
              <w:pStyle w:val="af7"/>
              <w:jc w:val="center"/>
            </w:pPr>
            <w:r w:rsidRPr="008275B0">
              <w:t>37,7</w:t>
            </w:r>
          </w:p>
        </w:tc>
        <w:tc>
          <w:tcPr>
            <w:tcW w:w="850" w:type="dxa"/>
            <w:vAlign w:val="center"/>
          </w:tcPr>
          <w:p w14:paraId="533B1214" w14:textId="44E8BDFB" w:rsidR="008275B0" w:rsidRPr="008275B0" w:rsidRDefault="008275B0" w:rsidP="007B2F9D">
            <w:pPr>
              <w:pStyle w:val="af7"/>
              <w:jc w:val="center"/>
            </w:pPr>
            <w:r w:rsidRPr="008275B0">
              <w:t>38,4</w:t>
            </w:r>
          </w:p>
        </w:tc>
        <w:tc>
          <w:tcPr>
            <w:tcW w:w="851" w:type="dxa"/>
            <w:vAlign w:val="center"/>
          </w:tcPr>
          <w:p w14:paraId="1C316D99" w14:textId="6AE1A52A" w:rsidR="008275B0" w:rsidRPr="008275B0" w:rsidRDefault="008275B0" w:rsidP="007B2F9D">
            <w:pPr>
              <w:pStyle w:val="af7"/>
              <w:jc w:val="center"/>
            </w:pPr>
            <w:r w:rsidRPr="008275B0">
              <w:t>40,0</w:t>
            </w:r>
          </w:p>
        </w:tc>
        <w:tc>
          <w:tcPr>
            <w:tcW w:w="850" w:type="dxa"/>
            <w:vAlign w:val="center"/>
          </w:tcPr>
          <w:p w14:paraId="2F464260" w14:textId="6B8069B6" w:rsidR="008275B0" w:rsidRPr="008275B0" w:rsidRDefault="008275B0" w:rsidP="007B2F9D">
            <w:pPr>
              <w:pStyle w:val="af7"/>
              <w:jc w:val="center"/>
            </w:pPr>
            <w:r w:rsidRPr="008275B0">
              <w:t>41,0</w:t>
            </w:r>
          </w:p>
        </w:tc>
        <w:tc>
          <w:tcPr>
            <w:tcW w:w="843" w:type="dxa"/>
            <w:vAlign w:val="center"/>
          </w:tcPr>
          <w:p w14:paraId="356D34C4" w14:textId="7EC9824B" w:rsidR="008275B0" w:rsidRPr="008275B0" w:rsidRDefault="008275B0" w:rsidP="007B2F9D">
            <w:pPr>
              <w:pStyle w:val="af7"/>
              <w:jc w:val="center"/>
            </w:pPr>
            <w:r w:rsidRPr="008275B0">
              <w:t>42,0</w:t>
            </w:r>
          </w:p>
        </w:tc>
        <w:tc>
          <w:tcPr>
            <w:tcW w:w="717" w:type="dxa"/>
            <w:vAlign w:val="center"/>
          </w:tcPr>
          <w:p w14:paraId="398E1F84" w14:textId="58F50213" w:rsidR="008275B0" w:rsidRPr="008275B0" w:rsidRDefault="008275B0" w:rsidP="007B2F9D">
            <w:pPr>
              <w:pStyle w:val="af7"/>
              <w:jc w:val="center"/>
            </w:pPr>
            <w:r w:rsidRPr="008275B0">
              <w:t>43,0</w:t>
            </w:r>
          </w:p>
        </w:tc>
        <w:tc>
          <w:tcPr>
            <w:tcW w:w="759" w:type="dxa"/>
            <w:vAlign w:val="center"/>
          </w:tcPr>
          <w:p w14:paraId="1C5BDC67" w14:textId="001584B0" w:rsidR="008275B0" w:rsidRPr="008275B0" w:rsidRDefault="008275B0" w:rsidP="007B2F9D">
            <w:pPr>
              <w:pStyle w:val="af7"/>
              <w:jc w:val="center"/>
            </w:pPr>
            <w:r w:rsidRPr="008275B0">
              <w:t>44,0</w:t>
            </w:r>
          </w:p>
        </w:tc>
        <w:tc>
          <w:tcPr>
            <w:tcW w:w="792" w:type="dxa"/>
            <w:vAlign w:val="center"/>
          </w:tcPr>
          <w:p w14:paraId="0B231FE8" w14:textId="32F530A4" w:rsidR="008275B0" w:rsidRPr="008275B0" w:rsidRDefault="008275B0" w:rsidP="007B2F9D">
            <w:pPr>
              <w:pStyle w:val="af7"/>
              <w:jc w:val="center"/>
            </w:pPr>
            <w:r w:rsidRPr="008275B0">
              <w:t>45,0</w:t>
            </w:r>
          </w:p>
        </w:tc>
        <w:tc>
          <w:tcPr>
            <w:tcW w:w="717" w:type="dxa"/>
            <w:vAlign w:val="center"/>
          </w:tcPr>
          <w:p w14:paraId="5D8BBB81" w14:textId="5BF30DC2" w:rsidR="008275B0" w:rsidRPr="008275B0" w:rsidRDefault="008275B0" w:rsidP="007B2F9D">
            <w:pPr>
              <w:pStyle w:val="af7"/>
              <w:jc w:val="center"/>
            </w:pPr>
            <w:r w:rsidRPr="008275B0">
              <w:t>50,0</w:t>
            </w:r>
          </w:p>
        </w:tc>
        <w:tc>
          <w:tcPr>
            <w:tcW w:w="1842" w:type="dxa"/>
            <w:vMerge w:val="restart"/>
          </w:tcPr>
          <w:p w14:paraId="66594512" w14:textId="70649E2F" w:rsidR="008275B0" w:rsidRPr="008275B0" w:rsidRDefault="008275B0" w:rsidP="007B2F9D">
            <w:pPr>
              <w:pStyle w:val="af7"/>
            </w:pPr>
            <w:r w:rsidRPr="008275B0">
              <w:t>Бюджетное учреждение Ханты-Мансийского автономного округа – Югры</w:t>
            </w:r>
          </w:p>
          <w:p w14:paraId="54A534DB" w14:textId="09BBA0AE" w:rsidR="008275B0" w:rsidRPr="008275B0" w:rsidRDefault="008275B0" w:rsidP="007B2F9D">
            <w:pPr>
              <w:pStyle w:val="af7"/>
            </w:pPr>
            <w:r w:rsidRPr="008275B0">
              <w:t>Нефтеюганской районной больницы</w:t>
            </w:r>
          </w:p>
        </w:tc>
      </w:tr>
      <w:tr w:rsidR="002F4AD5" w:rsidRPr="008275B0" w14:paraId="7072A05A" w14:textId="77777777" w:rsidTr="002F4AD5">
        <w:trPr>
          <w:trHeight w:val="617"/>
        </w:trPr>
        <w:tc>
          <w:tcPr>
            <w:tcW w:w="706" w:type="dxa"/>
            <w:vAlign w:val="center"/>
          </w:tcPr>
          <w:p w14:paraId="6E12E776" w14:textId="2D2CF4C0" w:rsidR="008275B0" w:rsidRPr="008275B0" w:rsidRDefault="007B2F9D" w:rsidP="007B2F9D">
            <w:pPr>
              <w:pStyle w:val="af7"/>
            </w:pPr>
            <w:r>
              <w:t>1.10.</w:t>
            </w:r>
          </w:p>
        </w:tc>
        <w:tc>
          <w:tcPr>
            <w:tcW w:w="2418" w:type="dxa"/>
            <w:vAlign w:val="center"/>
          </w:tcPr>
          <w:p w14:paraId="66469DD0" w14:textId="05F0C782" w:rsidR="008275B0" w:rsidRPr="008275B0" w:rsidRDefault="008275B0" w:rsidP="007B2F9D">
            <w:pPr>
              <w:pStyle w:val="af7"/>
            </w:pPr>
            <w:r w:rsidRPr="008275B0">
              <w:t>Уровень обеспеченности врачами, сельское население</w:t>
            </w:r>
          </w:p>
        </w:tc>
        <w:tc>
          <w:tcPr>
            <w:tcW w:w="850" w:type="dxa"/>
            <w:vAlign w:val="center"/>
          </w:tcPr>
          <w:p w14:paraId="01226F11" w14:textId="77777777" w:rsidR="008275B0" w:rsidRPr="008275B0" w:rsidRDefault="008275B0" w:rsidP="007B2F9D">
            <w:pPr>
              <w:pStyle w:val="af7"/>
              <w:jc w:val="center"/>
            </w:pPr>
            <w:r w:rsidRPr="008275B0">
              <w:t>чел. на 10 тыс.</w:t>
            </w:r>
          </w:p>
          <w:p w14:paraId="3E212FD2" w14:textId="210B926E" w:rsidR="008275B0" w:rsidRPr="008275B0" w:rsidRDefault="008275B0" w:rsidP="007B2F9D">
            <w:pPr>
              <w:pStyle w:val="af7"/>
              <w:jc w:val="center"/>
            </w:pPr>
            <w:r w:rsidRPr="008275B0">
              <w:t>населения</w:t>
            </w:r>
          </w:p>
        </w:tc>
        <w:tc>
          <w:tcPr>
            <w:tcW w:w="851" w:type="dxa"/>
            <w:vAlign w:val="center"/>
          </w:tcPr>
          <w:p w14:paraId="1A345D6A" w14:textId="0A8466AD" w:rsidR="008275B0" w:rsidRPr="008275B0" w:rsidRDefault="008275B0" w:rsidP="007B2F9D">
            <w:pPr>
              <w:pStyle w:val="af7"/>
              <w:jc w:val="center"/>
            </w:pPr>
            <w:r w:rsidRPr="008275B0">
              <w:t>10,2</w:t>
            </w:r>
          </w:p>
        </w:tc>
        <w:tc>
          <w:tcPr>
            <w:tcW w:w="850" w:type="dxa"/>
            <w:vAlign w:val="center"/>
          </w:tcPr>
          <w:p w14:paraId="65F061FB" w14:textId="4E79DF74" w:rsidR="008275B0" w:rsidRPr="008275B0" w:rsidRDefault="008275B0" w:rsidP="007B2F9D">
            <w:pPr>
              <w:pStyle w:val="af7"/>
              <w:jc w:val="center"/>
            </w:pPr>
            <w:r w:rsidRPr="008275B0">
              <w:t>10,2</w:t>
            </w:r>
          </w:p>
        </w:tc>
        <w:tc>
          <w:tcPr>
            <w:tcW w:w="851" w:type="dxa"/>
            <w:vAlign w:val="center"/>
          </w:tcPr>
          <w:p w14:paraId="51EBB60B" w14:textId="4DE3E744" w:rsidR="008275B0" w:rsidRPr="008275B0" w:rsidRDefault="008275B0" w:rsidP="007B2F9D">
            <w:pPr>
              <w:pStyle w:val="af7"/>
              <w:jc w:val="center"/>
              <w:rPr>
                <w:lang w:val="en-US"/>
              </w:rPr>
            </w:pPr>
            <w:r w:rsidRPr="008275B0">
              <w:t>12</w:t>
            </w:r>
            <w:r w:rsidRPr="008275B0">
              <w:rPr>
                <w:lang w:val="en-US"/>
              </w:rPr>
              <w:t>,5</w:t>
            </w:r>
          </w:p>
        </w:tc>
        <w:tc>
          <w:tcPr>
            <w:tcW w:w="850" w:type="dxa"/>
            <w:vAlign w:val="center"/>
          </w:tcPr>
          <w:p w14:paraId="5AB3B85C" w14:textId="3B2BEBF4" w:rsidR="008275B0" w:rsidRPr="008275B0" w:rsidRDefault="008275B0" w:rsidP="007B2F9D">
            <w:pPr>
              <w:pStyle w:val="af7"/>
              <w:jc w:val="center"/>
            </w:pPr>
            <w:r w:rsidRPr="008275B0">
              <w:t>13,4</w:t>
            </w:r>
          </w:p>
        </w:tc>
        <w:tc>
          <w:tcPr>
            <w:tcW w:w="851" w:type="dxa"/>
            <w:vAlign w:val="center"/>
          </w:tcPr>
          <w:p w14:paraId="3BB47EA2" w14:textId="06200402" w:rsidR="008275B0" w:rsidRPr="008275B0" w:rsidRDefault="008275B0" w:rsidP="007B2F9D">
            <w:pPr>
              <w:pStyle w:val="af7"/>
              <w:jc w:val="center"/>
            </w:pPr>
            <w:r w:rsidRPr="008275B0">
              <w:t>15,5</w:t>
            </w:r>
          </w:p>
        </w:tc>
        <w:tc>
          <w:tcPr>
            <w:tcW w:w="850" w:type="dxa"/>
            <w:vAlign w:val="center"/>
          </w:tcPr>
          <w:p w14:paraId="166AE532" w14:textId="4D7702F2" w:rsidR="008275B0" w:rsidRPr="008275B0" w:rsidRDefault="008275B0" w:rsidP="007B2F9D">
            <w:pPr>
              <w:pStyle w:val="af7"/>
              <w:jc w:val="center"/>
            </w:pPr>
            <w:r w:rsidRPr="008275B0">
              <w:t>16,1</w:t>
            </w:r>
          </w:p>
        </w:tc>
        <w:tc>
          <w:tcPr>
            <w:tcW w:w="843" w:type="dxa"/>
            <w:vAlign w:val="center"/>
          </w:tcPr>
          <w:p w14:paraId="1DE76890" w14:textId="7575DF0C" w:rsidR="008275B0" w:rsidRPr="008275B0" w:rsidRDefault="008275B0" w:rsidP="007B2F9D">
            <w:pPr>
              <w:pStyle w:val="af7"/>
              <w:jc w:val="center"/>
            </w:pPr>
            <w:r w:rsidRPr="008275B0">
              <w:t>17,8</w:t>
            </w:r>
          </w:p>
        </w:tc>
        <w:tc>
          <w:tcPr>
            <w:tcW w:w="717" w:type="dxa"/>
            <w:vAlign w:val="center"/>
          </w:tcPr>
          <w:p w14:paraId="51A31508" w14:textId="3FBD92B8" w:rsidR="008275B0" w:rsidRPr="008275B0" w:rsidRDefault="008275B0" w:rsidP="007B2F9D">
            <w:pPr>
              <w:pStyle w:val="af7"/>
              <w:jc w:val="center"/>
            </w:pPr>
            <w:r w:rsidRPr="008275B0">
              <w:t>19,9</w:t>
            </w:r>
          </w:p>
        </w:tc>
        <w:tc>
          <w:tcPr>
            <w:tcW w:w="759" w:type="dxa"/>
            <w:vAlign w:val="center"/>
          </w:tcPr>
          <w:p w14:paraId="786AC100" w14:textId="6999710F" w:rsidR="008275B0" w:rsidRPr="008275B0" w:rsidRDefault="008275B0" w:rsidP="007B2F9D">
            <w:pPr>
              <w:pStyle w:val="af7"/>
              <w:jc w:val="center"/>
            </w:pPr>
            <w:r w:rsidRPr="008275B0">
              <w:t>20,5</w:t>
            </w:r>
          </w:p>
        </w:tc>
        <w:tc>
          <w:tcPr>
            <w:tcW w:w="792" w:type="dxa"/>
            <w:vAlign w:val="center"/>
          </w:tcPr>
          <w:p w14:paraId="327B08D3" w14:textId="335DDAF0" w:rsidR="008275B0" w:rsidRPr="008275B0" w:rsidRDefault="008275B0" w:rsidP="007B2F9D">
            <w:pPr>
              <w:pStyle w:val="af7"/>
              <w:jc w:val="center"/>
            </w:pPr>
            <w:r w:rsidRPr="008275B0">
              <w:t>22,0</w:t>
            </w:r>
          </w:p>
        </w:tc>
        <w:tc>
          <w:tcPr>
            <w:tcW w:w="717" w:type="dxa"/>
            <w:vAlign w:val="center"/>
          </w:tcPr>
          <w:p w14:paraId="350E48D1" w14:textId="38C22C38" w:rsidR="008275B0" w:rsidRPr="008275B0" w:rsidRDefault="008275B0" w:rsidP="007B2F9D">
            <w:pPr>
              <w:pStyle w:val="af7"/>
              <w:jc w:val="center"/>
            </w:pPr>
            <w:r w:rsidRPr="008275B0">
              <w:t>28,0</w:t>
            </w:r>
          </w:p>
        </w:tc>
        <w:tc>
          <w:tcPr>
            <w:tcW w:w="1842" w:type="dxa"/>
            <w:vMerge/>
            <w:vAlign w:val="center"/>
          </w:tcPr>
          <w:p w14:paraId="000C3C51" w14:textId="77777777" w:rsidR="008275B0" w:rsidRPr="008275B0" w:rsidRDefault="008275B0" w:rsidP="007B2F9D">
            <w:pPr>
              <w:pStyle w:val="af7"/>
            </w:pPr>
          </w:p>
        </w:tc>
      </w:tr>
      <w:tr w:rsidR="002F4AD5" w:rsidRPr="008275B0" w14:paraId="65CBFA73" w14:textId="77777777" w:rsidTr="002F4AD5">
        <w:trPr>
          <w:trHeight w:val="617"/>
        </w:trPr>
        <w:tc>
          <w:tcPr>
            <w:tcW w:w="706" w:type="dxa"/>
            <w:vAlign w:val="center"/>
          </w:tcPr>
          <w:p w14:paraId="3432FAA4" w14:textId="30B63F65" w:rsidR="008275B0" w:rsidRPr="008275B0" w:rsidRDefault="007B2F9D" w:rsidP="007B2F9D">
            <w:pPr>
              <w:pStyle w:val="af7"/>
            </w:pPr>
            <w:r>
              <w:t>1.11.</w:t>
            </w:r>
          </w:p>
        </w:tc>
        <w:tc>
          <w:tcPr>
            <w:tcW w:w="2418" w:type="dxa"/>
            <w:vAlign w:val="center"/>
          </w:tcPr>
          <w:p w14:paraId="22C62F16" w14:textId="3B5B8868" w:rsidR="008275B0" w:rsidRPr="008275B0" w:rsidRDefault="008275B0" w:rsidP="007B2F9D">
            <w:pPr>
              <w:pStyle w:val="af7"/>
            </w:pPr>
            <w:r w:rsidRPr="008275B0">
              <w:t>Уровень обеспеченности средним медицинским персоналом, городское население</w:t>
            </w:r>
          </w:p>
        </w:tc>
        <w:tc>
          <w:tcPr>
            <w:tcW w:w="850" w:type="dxa"/>
            <w:vAlign w:val="center"/>
          </w:tcPr>
          <w:p w14:paraId="418CC9FC" w14:textId="77777777" w:rsidR="008275B0" w:rsidRPr="008275B0" w:rsidRDefault="008275B0" w:rsidP="007B2F9D">
            <w:pPr>
              <w:pStyle w:val="af7"/>
              <w:jc w:val="center"/>
            </w:pPr>
            <w:r w:rsidRPr="008275B0">
              <w:t>чел. на 10 тыс.</w:t>
            </w:r>
          </w:p>
          <w:p w14:paraId="280919BD" w14:textId="512D97F8" w:rsidR="008275B0" w:rsidRPr="008275B0" w:rsidRDefault="008275B0" w:rsidP="007B2F9D">
            <w:pPr>
              <w:pStyle w:val="af7"/>
              <w:jc w:val="center"/>
            </w:pPr>
            <w:r w:rsidRPr="008275B0">
              <w:t>населения</w:t>
            </w:r>
          </w:p>
        </w:tc>
        <w:tc>
          <w:tcPr>
            <w:tcW w:w="851" w:type="dxa"/>
            <w:vAlign w:val="center"/>
          </w:tcPr>
          <w:p w14:paraId="002D2ABA" w14:textId="19AC14AB" w:rsidR="008275B0" w:rsidRPr="008275B0" w:rsidRDefault="008275B0" w:rsidP="007B2F9D">
            <w:pPr>
              <w:pStyle w:val="af7"/>
              <w:jc w:val="center"/>
            </w:pPr>
            <w:r w:rsidRPr="008275B0">
              <w:t>129,6</w:t>
            </w:r>
          </w:p>
        </w:tc>
        <w:tc>
          <w:tcPr>
            <w:tcW w:w="850" w:type="dxa"/>
            <w:vAlign w:val="center"/>
          </w:tcPr>
          <w:p w14:paraId="5FCCC47C" w14:textId="466FC3B2" w:rsidR="008275B0" w:rsidRPr="008275B0" w:rsidRDefault="008275B0" w:rsidP="007B2F9D">
            <w:pPr>
              <w:pStyle w:val="af7"/>
              <w:jc w:val="center"/>
            </w:pPr>
            <w:r w:rsidRPr="008275B0">
              <w:t>129,6</w:t>
            </w:r>
          </w:p>
        </w:tc>
        <w:tc>
          <w:tcPr>
            <w:tcW w:w="851" w:type="dxa"/>
            <w:vAlign w:val="center"/>
          </w:tcPr>
          <w:p w14:paraId="4D9ABB9D" w14:textId="0F0D8D08" w:rsidR="008275B0" w:rsidRPr="008275B0" w:rsidRDefault="008275B0" w:rsidP="007B2F9D">
            <w:pPr>
              <w:pStyle w:val="af7"/>
              <w:jc w:val="center"/>
            </w:pPr>
            <w:r w:rsidRPr="008275B0">
              <w:t>129,6</w:t>
            </w:r>
          </w:p>
        </w:tc>
        <w:tc>
          <w:tcPr>
            <w:tcW w:w="850" w:type="dxa"/>
            <w:vAlign w:val="center"/>
          </w:tcPr>
          <w:p w14:paraId="441C53D8" w14:textId="15E819C4" w:rsidR="008275B0" w:rsidRPr="008275B0" w:rsidRDefault="008275B0" w:rsidP="007B2F9D">
            <w:pPr>
              <w:pStyle w:val="af7"/>
              <w:jc w:val="center"/>
            </w:pPr>
            <w:r w:rsidRPr="008275B0">
              <w:t>129,6</w:t>
            </w:r>
          </w:p>
        </w:tc>
        <w:tc>
          <w:tcPr>
            <w:tcW w:w="851" w:type="dxa"/>
            <w:vAlign w:val="center"/>
          </w:tcPr>
          <w:p w14:paraId="0DC96F32" w14:textId="231FBAA9" w:rsidR="008275B0" w:rsidRPr="008275B0" w:rsidRDefault="008275B0" w:rsidP="007B2F9D">
            <w:pPr>
              <w:pStyle w:val="af7"/>
              <w:jc w:val="center"/>
            </w:pPr>
            <w:r w:rsidRPr="008275B0">
              <w:t>129,6</w:t>
            </w:r>
          </w:p>
        </w:tc>
        <w:tc>
          <w:tcPr>
            <w:tcW w:w="850" w:type="dxa"/>
            <w:vAlign w:val="center"/>
          </w:tcPr>
          <w:p w14:paraId="03BB8FF5" w14:textId="646AE5AE" w:rsidR="008275B0" w:rsidRPr="008275B0" w:rsidRDefault="008275B0" w:rsidP="007B2F9D">
            <w:pPr>
              <w:pStyle w:val="af7"/>
              <w:jc w:val="center"/>
            </w:pPr>
            <w:r w:rsidRPr="008275B0">
              <w:t>129,6</w:t>
            </w:r>
          </w:p>
        </w:tc>
        <w:tc>
          <w:tcPr>
            <w:tcW w:w="843" w:type="dxa"/>
            <w:vAlign w:val="center"/>
          </w:tcPr>
          <w:p w14:paraId="4D8E65B9" w14:textId="6067C77A" w:rsidR="008275B0" w:rsidRPr="008275B0" w:rsidRDefault="008275B0" w:rsidP="007B2F9D">
            <w:pPr>
              <w:pStyle w:val="af7"/>
              <w:jc w:val="center"/>
            </w:pPr>
            <w:r w:rsidRPr="008275B0">
              <w:t>129,6</w:t>
            </w:r>
          </w:p>
        </w:tc>
        <w:tc>
          <w:tcPr>
            <w:tcW w:w="717" w:type="dxa"/>
            <w:vAlign w:val="center"/>
          </w:tcPr>
          <w:p w14:paraId="6AE13B21" w14:textId="5CBD9099" w:rsidR="008275B0" w:rsidRPr="008275B0" w:rsidRDefault="008275B0" w:rsidP="007B2F9D">
            <w:pPr>
              <w:pStyle w:val="af7"/>
              <w:jc w:val="center"/>
            </w:pPr>
            <w:r w:rsidRPr="008275B0">
              <w:t>129,6</w:t>
            </w:r>
          </w:p>
        </w:tc>
        <w:tc>
          <w:tcPr>
            <w:tcW w:w="759" w:type="dxa"/>
            <w:vAlign w:val="center"/>
          </w:tcPr>
          <w:p w14:paraId="5DA6416B" w14:textId="7FABE3C6" w:rsidR="008275B0" w:rsidRPr="008275B0" w:rsidRDefault="008275B0" w:rsidP="007B2F9D">
            <w:pPr>
              <w:pStyle w:val="af7"/>
              <w:jc w:val="center"/>
            </w:pPr>
            <w:r w:rsidRPr="008275B0">
              <w:t>129,6</w:t>
            </w:r>
          </w:p>
        </w:tc>
        <w:tc>
          <w:tcPr>
            <w:tcW w:w="792" w:type="dxa"/>
            <w:vAlign w:val="center"/>
          </w:tcPr>
          <w:p w14:paraId="4E289D62" w14:textId="52C308C9" w:rsidR="008275B0" w:rsidRPr="008275B0" w:rsidRDefault="008275B0" w:rsidP="007B2F9D">
            <w:pPr>
              <w:pStyle w:val="af7"/>
              <w:jc w:val="center"/>
            </w:pPr>
            <w:r w:rsidRPr="008275B0">
              <w:t>129,6</w:t>
            </w:r>
          </w:p>
        </w:tc>
        <w:tc>
          <w:tcPr>
            <w:tcW w:w="717" w:type="dxa"/>
            <w:vAlign w:val="center"/>
          </w:tcPr>
          <w:p w14:paraId="072A8794" w14:textId="4A7DD9A9" w:rsidR="008275B0" w:rsidRPr="008275B0" w:rsidRDefault="008275B0" w:rsidP="007B2F9D">
            <w:pPr>
              <w:pStyle w:val="af7"/>
              <w:jc w:val="center"/>
            </w:pPr>
            <w:r w:rsidRPr="008275B0">
              <w:t>129,6</w:t>
            </w:r>
          </w:p>
        </w:tc>
        <w:tc>
          <w:tcPr>
            <w:tcW w:w="1842" w:type="dxa"/>
            <w:vMerge/>
            <w:vAlign w:val="center"/>
          </w:tcPr>
          <w:p w14:paraId="059FFD7B" w14:textId="77777777" w:rsidR="008275B0" w:rsidRPr="008275B0" w:rsidRDefault="008275B0" w:rsidP="007B2F9D">
            <w:pPr>
              <w:pStyle w:val="af7"/>
            </w:pPr>
          </w:p>
        </w:tc>
      </w:tr>
      <w:tr w:rsidR="002F4AD5" w:rsidRPr="008275B0" w14:paraId="5064D751" w14:textId="77777777" w:rsidTr="002F4AD5">
        <w:trPr>
          <w:trHeight w:val="617"/>
        </w:trPr>
        <w:tc>
          <w:tcPr>
            <w:tcW w:w="706" w:type="dxa"/>
            <w:vAlign w:val="center"/>
          </w:tcPr>
          <w:p w14:paraId="63986BA7" w14:textId="5AAAD0C5" w:rsidR="008275B0" w:rsidRPr="008275B0" w:rsidRDefault="007B2F9D" w:rsidP="007B2F9D">
            <w:pPr>
              <w:pStyle w:val="af7"/>
            </w:pPr>
            <w:r>
              <w:t>1.12.</w:t>
            </w:r>
          </w:p>
        </w:tc>
        <w:tc>
          <w:tcPr>
            <w:tcW w:w="2418" w:type="dxa"/>
            <w:vAlign w:val="center"/>
          </w:tcPr>
          <w:p w14:paraId="6966CB58" w14:textId="44183359" w:rsidR="008275B0" w:rsidRPr="008275B0" w:rsidRDefault="008275B0" w:rsidP="007B2F9D">
            <w:pPr>
              <w:pStyle w:val="af7"/>
            </w:pPr>
            <w:r w:rsidRPr="008275B0">
              <w:t>Уровень обеспеченности средним медицинским персоналом, сельское население</w:t>
            </w:r>
          </w:p>
        </w:tc>
        <w:tc>
          <w:tcPr>
            <w:tcW w:w="850" w:type="dxa"/>
            <w:vAlign w:val="center"/>
          </w:tcPr>
          <w:p w14:paraId="6F76C64E" w14:textId="77777777" w:rsidR="008275B0" w:rsidRPr="008275B0" w:rsidRDefault="008275B0" w:rsidP="007B2F9D">
            <w:pPr>
              <w:pStyle w:val="af7"/>
              <w:jc w:val="center"/>
            </w:pPr>
            <w:r w:rsidRPr="008275B0">
              <w:t>чел. на 10 тыс.</w:t>
            </w:r>
          </w:p>
          <w:p w14:paraId="2793DB77" w14:textId="3AA28A88" w:rsidR="008275B0" w:rsidRPr="008275B0" w:rsidRDefault="008275B0" w:rsidP="007B2F9D">
            <w:pPr>
              <w:pStyle w:val="af7"/>
              <w:jc w:val="center"/>
            </w:pPr>
            <w:r w:rsidRPr="008275B0">
              <w:t>населения</w:t>
            </w:r>
          </w:p>
        </w:tc>
        <w:tc>
          <w:tcPr>
            <w:tcW w:w="851" w:type="dxa"/>
            <w:vAlign w:val="center"/>
          </w:tcPr>
          <w:p w14:paraId="6E573EAB" w14:textId="7124D844" w:rsidR="008275B0" w:rsidRPr="008275B0" w:rsidRDefault="008275B0" w:rsidP="007B2F9D">
            <w:pPr>
              <w:pStyle w:val="af7"/>
              <w:jc w:val="center"/>
            </w:pPr>
            <w:r w:rsidRPr="008275B0">
              <w:t>63,9</w:t>
            </w:r>
          </w:p>
        </w:tc>
        <w:tc>
          <w:tcPr>
            <w:tcW w:w="850" w:type="dxa"/>
            <w:vAlign w:val="center"/>
          </w:tcPr>
          <w:p w14:paraId="240C092E" w14:textId="1369D1E5" w:rsidR="008275B0" w:rsidRPr="008275B0" w:rsidRDefault="008275B0" w:rsidP="007B2F9D">
            <w:pPr>
              <w:pStyle w:val="af7"/>
              <w:jc w:val="center"/>
            </w:pPr>
            <w:r w:rsidRPr="008275B0">
              <w:t>63,9</w:t>
            </w:r>
          </w:p>
        </w:tc>
        <w:tc>
          <w:tcPr>
            <w:tcW w:w="851" w:type="dxa"/>
            <w:vAlign w:val="center"/>
          </w:tcPr>
          <w:p w14:paraId="7CC8E247" w14:textId="04312DFA" w:rsidR="008275B0" w:rsidRPr="008275B0" w:rsidRDefault="008275B0" w:rsidP="007B2F9D">
            <w:pPr>
              <w:pStyle w:val="af7"/>
              <w:jc w:val="center"/>
            </w:pPr>
            <w:r w:rsidRPr="008275B0">
              <w:t>65,0</w:t>
            </w:r>
          </w:p>
        </w:tc>
        <w:tc>
          <w:tcPr>
            <w:tcW w:w="850" w:type="dxa"/>
            <w:vAlign w:val="center"/>
          </w:tcPr>
          <w:p w14:paraId="419DC351" w14:textId="6DBD8504" w:rsidR="008275B0" w:rsidRPr="008275B0" w:rsidRDefault="008275B0" w:rsidP="007B2F9D">
            <w:pPr>
              <w:pStyle w:val="af7"/>
              <w:jc w:val="center"/>
            </w:pPr>
            <w:r w:rsidRPr="008275B0">
              <w:t>67,9</w:t>
            </w:r>
          </w:p>
        </w:tc>
        <w:tc>
          <w:tcPr>
            <w:tcW w:w="851" w:type="dxa"/>
            <w:vAlign w:val="center"/>
          </w:tcPr>
          <w:p w14:paraId="5C5AC846" w14:textId="4C610608" w:rsidR="008275B0" w:rsidRPr="008275B0" w:rsidRDefault="008275B0" w:rsidP="007B2F9D">
            <w:pPr>
              <w:pStyle w:val="af7"/>
              <w:jc w:val="center"/>
            </w:pPr>
            <w:r w:rsidRPr="008275B0">
              <w:t>69,0</w:t>
            </w:r>
          </w:p>
        </w:tc>
        <w:tc>
          <w:tcPr>
            <w:tcW w:w="850" w:type="dxa"/>
            <w:vAlign w:val="center"/>
          </w:tcPr>
          <w:p w14:paraId="21C21B12" w14:textId="53C3E0CE" w:rsidR="008275B0" w:rsidRPr="008275B0" w:rsidRDefault="008275B0" w:rsidP="007B2F9D">
            <w:pPr>
              <w:pStyle w:val="af7"/>
              <w:jc w:val="center"/>
            </w:pPr>
            <w:r w:rsidRPr="008275B0">
              <w:t>70,0</w:t>
            </w:r>
          </w:p>
        </w:tc>
        <w:tc>
          <w:tcPr>
            <w:tcW w:w="843" w:type="dxa"/>
            <w:vAlign w:val="center"/>
          </w:tcPr>
          <w:p w14:paraId="2E953BC2" w14:textId="61B47520" w:rsidR="008275B0" w:rsidRPr="008275B0" w:rsidRDefault="008275B0" w:rsidP="007B2F9D">
            <w:pPr>
              <w:pStyle w:val="af7"/>
              <w:jc w:val="center"/>
            </w:pPr>
            <w:r w:rsidRPr="008275B0">
              <w:t>71,0</w:t>
            </w:r>
          </w:p>
        </w:tc>
        <w:tc>
          <w:tcPr>
            <w:tcW w:w="717" w:type="dxa"/>
            <w:vAlign w:val="center"/>
          </w:tcPr>
          <w:p w14:paraId="2E22607D" w14:textId="73450804" w:rsidR="008275B0" w:rsidRPr="008275B0" w:rsidRDefault="008275B0" w:rsidP="007B2F9D">
            <w:pPr>
              <w:pStyle w:val="af7"/>
              <w:jc w:val="center"/>
            </w:pPr>
            <w:r w:rsidRPr="008275B0">
              <w:t>72,0</w:t>
            </w:r>
          </w:p>
        </w:tc>
        <w:tc>
          <w:tcPr>
            <w:tcW w:w="759" w:type="dxa"/>
            <w:vAlign w:val="center"/>
          </w:tcPr>
          <w:p w14:paraId="77DC5B2C" w14:textId="66EBB015" w:rsidR="008275B0" w:rsidRPr="008275B0" w:rsidRDefault="008275B0" w:rsidP="007B2F9D">
            <w:pPr>
              <w:pStyle w:val="af7"/>
              <w:jc w:val="center"/>
            </w:pPr>
            <w:r w:rsidRPr="008275B0">
              <w:t>73,0</w:t>
            </w:r>
          </w:p>
        </w:tc>
        <w:tc>
          <w:tcPr>
            <w:tcW w:w="792" w:type="dxa"/>
            <w:vAlign w:val="center"/>
          </w:tcPr>
          <w:p w14:paraId="5BA296ED" w14:textId="1E5643BA" w:rsidR="008275B0" w:rsidRPr="008275B0" w:rsidRDefault="008275B0" w:rsidP="007B2F9D">
            <w:pPr>
              <w:pStyle w:val="af7"/>
              <w:jc w:val="center"/>
            </w:pPr>
            <w:r w:rsidRPr="008275B0">
              <w:t>75,0</w:t>
            </w:r>
          </w:p>
        </w:tc>
        <w:tc>
          <w:tcPr>
            <w:tcW w:w="717" w:type="dxa"/>
            <w:vAlign w:val="center"/>
          </w:tcPr>
          <w:p w14:paraId="0784EA54" w14:textId="007E759E" w:rsidR="008275B0" w:rsidRPr="008275B0" w:rsidRDefault="008275B0" w:rsidP="007B2F9D">
            <w:pPr>
              <w:pStyle w:val="af7"/>
              <w:jc w:val="center"/>
            </w:pPr>
            <w:r w:rsidRPr="008275B0">
              <w:t>80,0</w:t>
            </w:r>
          </w:p>
        </w:tc>
        <w:tc>
          <w:tcPr>
            <w:tcW w:w="1842" w:type="dxa"/>
            <w:vMerge/>
            <w:vAlign w:val="center"/>
          </w:tcPr>
          <w:p w14:paraId="111E3F08" w14:textId="77777777" w:rsidR="008275B0" w:rsidRPr="008275B0" w:rsidRDefault="008275B0" w:rsidP="007B2F9D">
            <w:pPr>
              <w:pStyle w:val="af7"/>
            </w:pPr>
          </w:p>
        </w:tc>
      </w:tr>
      <w:tr w:rsidR="002F4AD5" w:rsidRPr="008275B0" w14:paraId="15D02663" w14:textId="77777777" w:rsidTr="002F4AD5">
        <w:trPr>
          <w:trHeight w:val="617"/>
        </w:trPr>
        <w:tc>
          <w:tcPr>
            <w:tcW w:w="706" w:type="dxa"/>
            <w:vAlign w:val="center"/>
          </w:tcPr>
          <w:p w14:paraId="55759A7E" w14:textId="6617EF8E" w:rsidR="008275B0" w:rsidRPr="008275B0" w:rsidRDefault="007B2F9D" w:rsidP="007B2F9D">
            <w:pPr>
              <w:pStyle w:val="af7"/>
            </w:pPr>
            <w:r>
              <w:t>1.13.</w:t>
            </w:r>
          </w:p>
        </w:tc>
        <w:tc>
          <w:tcPr>
            <w:tcW w:w="2418" w:type="dxa"/>
            <w:vAlign w:val="center"/>
          </w:tcPr>
          <w:p w14:paraId="1BB4C225" w14:textId="1974BCF5" w:rsidR="008275B0" w:rsidRPr="008275B0" w:rsidRDefault="008275B0" w:rsidP="007B2F9D">
            <w:pPr>
              <w:pStyle w:val="af7"/>
            </w:pPr>
            <w:r w:rsidRPr="008275B0">
              <w:t>Доля населения, систематически занимающегося физической культурой и спортом</w:t>
            </w:r>
          </w:p>
        </w:tc>
        <w:tc>
          <w:tcPr>
            <w:tcW w:w="850" w:type="dxa"/>
            <w:vAlign w:val="center"/>
          </w:tcPr>
          <w:p w14:paraId="0088CE47" w14:textId="40FEC90A" w:rsidR="008275B0" w:rsidRPr="008275B0" w:rsidRDefault="008275B0" w:rsidP="007B2F9D">
            <w:pPr>
              <w:pStyle w:val="af7"/>
              <w:jc w:val="center"/>
            </w:pPr>
            <w:r w:rsidRPr="008275B0">
              <w:t>%</w:t>
            </w:r>
          </w:p>
        </w:tc>
        <w:tc>
          <w:tcPr>
            <w:tcW w:w="851" w:type="dxa"/>
            <w:vAlign w:val="center"/>
          </w:tcPr>
          <w:p w14:paraId="1B5E1C30" w14:textId="700ACBA0" w:rsidR="008275B0" w:rsidRPr="008275B0" w:rsidRDefault="008275B0" w:rsidP="007B2F9D">
            <w:pPr>
              <w:pStyle w:val="af7"/>
              <w:jc w:val="center"/>
            </w:pPr>
            <w:r w:rsidRPr="008275B0">
              <w:t>34,1</w:t>
            </w:r>
          </w:p>
        </w:tc>
        <w:tc>
          <w:tcPr>
            <w:tcW w:w="850" w:type="dxa"/>
            <w:vAlign w:val="center"/>
          </w:tcPr>
          <w:p w14:paraId="046C1F3B" w14:textId="5A6F9817" w:rsidR="008275B0" w:rsidRPr="008275B0" w:rsidRDefault="008275B0" w:rsidP="007B2F9D">
            <w:pPr>
              <w:pStyle w:val="af7"/>
              <w:jc w:val="center"/>
            </w:pPr>
            <w:r w:rsidRPr="008275B0">
              <w:t>34,8</w:t>
            </w:r>
          </w:p>
        </w:tc>
        <w:tc>
          <w:tcPr>
            <w:tcW w:w="851" w:type="dxa"/>
            <w:vAlign w:val="center"/>
          </w:tcPr>
          <w:p w14:paraId="42F6C57B" w14:textId="1AA4E94F" w:rsidR="008275B0" w:rsidRPr="008275B0" w:rsidRDefault="008275B0" w:rsidP="007B2F9D">
            <w:pPr>
              <w:pStyle w:val="af7"/>
              <w:jc w:val="center"/>
            </w:pPr>
            <w:r w:rsidRPr="008275B0">
              <w:t>36,7</w:t>
            </w:r>
          </w:p>
        </w:tc>
        <w:tc>
          <w:tcPr>
            <w:tcW w:w="850" w:type="dxa"/>
            <w:vAlign w:val="center"/>
          </w:tcPr>
          <w:p w14:paraId="1002D3DE" w14:textId="4397431B" w:rsidR="008275B0" w:rsidRPr="008275B0" w:rsidRDefault="008275B0" w:rsidP="007B2F9D">
            <w:pPr>
              <w:pStyle w:val="af7"/>
              <w:jc w:val="center"/>
            </w:pPr>
            <w:r w:rsidRPr="008275B0">
              <w:t>39,1</w:t>
            </w:r>
          </w:p>
        </w:tc>
        <w:tc>
          <w:tcPr>
            <w:tcW w:w="851" w:type="dxa"/>
            <w:vAlign w:val="center"/>
          </w:tcPr>
          <w:p w14:paraId="5786B514" w14:textId="27636C3E" w:rsidR="008275B0" w:rsidRPr="008275B0" w:rsidRDefault="008275B0" w:rsidP="007B2F9D">
            <w:pPr>
              <w:pStyle w:val="af7"/>
              <w:jc w:val="center"/>
            </w:pPr>
            <w:r w:rsidRPr="008275B0">
              <w:t>41,3</w:t>
            </w:r>
          </w:p>
        </w:tc>
        <w:tc>
          <w:tcPr>
            <w:tcW w:w="850" w:type="dxa"/>
            <w:vAlign w:val="center"/>
          </w:tcPr>
          <w:p w14:paraId="65DD9A67" w14:textId="231E8366" w:rsidR="008275B0" w:rsidRPr="008275B0" w:rsidRDefault="008275B0" w:rsidP="007B2F9D">
            <w:pPr>
              <w:pStyle w:val="af7"/>
              <w:jc w:val="center"/>
            </w:pPr>
            <w:r w:rsidRPr="008275B0">
              <w:t>41,9</w:t>
            </w:r>
          </w:p>
        </w:tc>
        <w:tc>
          <w:tcPr>
            <w:tcW w:w="843" w:type="dxa"/>
            <w:vAlign w:val="center"/>
          </w:tcPr>
          <w:p w14:paraId="01794EF8" w14:textId="75D2125F" w:rsidR="008275B0" w:rsidRPr="008275B0" w:rsidRDefault="008275B0" w:rsidP="007B2F9D">
            <w:pPr>
              <w:pStyle w:val="af7"/>
              <w:jc w:val="center"/>
            </w:pPr>
            <w:r w:rsidRPr="008275B0">
              <w:t>42,5</w:t>
            </w:r>
          </w:p>
        </w:tc>
        <w:tc>
          <w:tcPr>
            <w:tcW w:w="717" w:type="dxa"/>
            <w:vAlign w:val="center"/>
          </w:tcPr>
          <w:p w14:paraId="25D722A3" w14:textId="063D8B82" w:rsidR="008275B0" w:rsidRPr="008275B0" w:rsidRDefault="008275B0" w:rsidP="007B2F9D">
            <w:pPr>
              <w:pStyle w:val="af7"/>
              <w:jc w:val="center"/>
            </w:pPr>
            <w:r w:rsidRPr="008275B0">
              <w:t>43,1</w:t>
            </w:r>
          </w:p>
        </w:tc>
        <w:tc>
          <w:tcPr>
            <w:tcW w:w="759" w:type="dxa"/>
            <w:vAlign w:val="center"/>
          </w:tcPr>
          <w:p w14:paraId="495896F1" w14:textId="4A35A630" w:rsidR="008275B0" w:rsidRPr="008275B0" w:rsidRDefault="008275B0" w:rsidP="007B2F9D">
            <w:pPr>
              <w:pStyle w:val="af7"/>
              <w:jc w:val="center"/>
            </w:pPr>
            <w:r w:rsidRPr="008275B0">
              <w:t>43,5</w:t>
            </w:r>
          </w:p>
        </w:tc>
        <w:tc>
          <w:tcPr>
            <w:tcW w:w="792" w:type="dxa"/>
            <w:vAlign w:val="center"/>
          </w:tcPr>
          <w:p w14:paraId="66A364B7" w14:textId="25AEB5F6" w:rsidR="008275B0" w:rsidRPr="008275B0" w:rsidRDefault="008275B0" w:rsidP="007B2F9D">
            <w:pPr>
              <w:pStyle w:val="af7"/>
              <w:jc w:val="center"/>
            </w:pPr>
            <w:r w:rsidRPr="008275B0">
              <w:t>44,0</w:t>
            </w:r>
          </w:p>
        </w:tc>
        <w:tc>
          <w:tcPr>
            <w:tcW w:w="717" w:type="dxa"/>
            <w:vAlign w:val="center"/>
          </w:tcPr>
          <w:p w14:paraId="255BBBD0" w14:textId="75755077" w:rsidR="008275B0" w:rsidRPr="008275B0" w:rsidRDefault="008275B0" w:rsidP="007B2F9D">
            <w:pPr>
              <w:pStyle w:val="af7"/>
              <w:jc w:val="center"/>
            </w:pPr>
            <w:r w:rsidRPr="008275B0">
              <w:t>48,0</w:t>
            </w:r>
          </w:p>
        </w:tc>
        <w:tc>
          <w:tcPr>
            <w:tcW w:w="1842" w:type="dxa"/>
            <w:vMerge w:val="restart"/>
          </w:tcPr>
          <w:p w14:paraId="4B40F3A7" w14:textId="6DDBDF7D" w:rsidR="008275B0" w:rsidRPr="008275B0" w:rsidRDefault="008275B0" w:rsidP="007B2F9D">
            <w:pPr>
              <w:pStyle w:val="af7"/>
            </w:pPr>
            <w:r w:rsidRPr="008275B0">
              <w:t>Департамент культуры и спорта администрации Нефтеюганского района</w:t>
            </w:r>
          </w:p>
        </w:tc>
      </w:tr>
      <w:tr w:rsidR="002F4AD5" w:rsidRPr="008275B0" w14:paraId="2333BD73" w14:textId="77777777" w:rsidTr="002F4AD5">
        <w:trPr>
          <w:trHeight w:val="617"/>
        </w:trPr>
        <w:tc>
          <w:tcPr>
            <w:tcW w:w="706" w:type="dxa"/>
            <w:vAlign w:val="center"/>
          </w:tcPr>
          <w:p w14:paraId="6D5D59D6" w14:textId="3F4DFA32" w:rsidR="008275B0" w:rsidRPr="008275B0" w:rsidRDefault="007B2F9D" w:rsidP="007B2F9D">
            <w:pPr>
              <w:pStyle w:val="af7"/>
            </w:pPr>
            <w:r>
              <w:t>1.14.</w:t>
            </w:r>
          </w:p>
        </w:tc>
        <w:tc>
          <w:tcPr>
            <w:tcW w:w="2418" w:type="dxa"/>
            <w:vAlign w:val="center"/>
          </w:tcPr>
          <w:p w14:paraId="314C5796" w14:textId="00294440" w:rsidR="008275B0" w:rsidRPr="008275B0" w:rsidRDefault="008275B0" w:rsidP="007B2F9D">
            <w:pPr>
              <w:pStyle w:val="af7"/>
            </w:pPr>
            <w:r w:rsidRPr="008275B0">
              <w:t>Обеспеченность учреждениями культурно-досугового типа</w:t>
            </w:r>
          </w:p>
        </w:tc>
        <w:tc>
          <w:tcPr>
            <w:tcW w:w="850" w:type="dxa"/>
            <w:vAlign w:val="center"/>
          </w:tcPr>
          <w:p w14:paraId="58C8DE3F" w14:textId="4A2C01DF" w:rsidR="008275B0" w:rsidRPr="008275B0" w:rsidRDefault="008275B0" w:rsidP="007B2F9D">
            <w:pPr>
              <w:pStyle w:val="af7"/>
              <w:jc w:val="center"/>
            </w:pPr>
            <w:r w:rsidRPr="008275B0">
              <w:t>Учреждений на 100 тыс. населения</w:t>
            </w:r>
          </w:p>
        </w:tc>
        <w:tc>
          <w:tcPr>
            <w:tcW w:w="851" w:type="dxa"/>
            <w:vAlign w:val="center"/>
          </w:tcPr>
          <w:p w14:paraId="2D02FF0A" w14:textId="0B0148C5" w:rsidR="008275B0" w:rsidRPr="008275B0" w:rsidRDefault="008275B0" w:rsidP="007B2F9D">
            <w:pPr>
              <w:pStyle w:val="af7"/>
              <w:jc w:val="center"/>
            </w:pPr>
            <w:r w:rsidRPr="008275B0">
              <w:t>4,5</w:t>
            </w:r>
          </w:p>
        </w:tc>
        <w:tc>
          <w:tcPr>
            <w:tcW w:w="850" w:type="dxa"/>
            <w:vAlign w:val="center"/>
          </w:tcPr>
          <w:p w14:paraId="66FEE88A" w14:textId="4E4A91E4" w:rsidR="008275B0" w:rsidRPr="008275B0" w:rsidRDefault="008275B0" w:rsidP="007B2F9D">
            <w:pPr>
              <w:pStyle w:val="af7"/>
              <w:jc w:val="center"/>
            </w:pPr>
            <w:r w:rsidRPr="008275B0">
              <w:t>4,5</w:t>
            </w:r>
          </w:p>
        </w:tc>
        <w:tc>
          <w:tcPr>
            <w:tcW w:w="851" w:type="dxa"/>
            <w:vAlign w:val="center"/>
          </w:tcPr>
          <w:p w14:paraId="5C2BE207" w14:textId="1CF6409F" w:rsidR="008275B0" w:rsidRPr="008275B0" w:rsidRDefault="008275B0" w:rsidP="007B2F9D">
            <w:pPr>
              <w:pStyle w:val="af7"/>
              <w:jc w:val="center"/>
            </w:pPr>
            <w:r w:rsidRPr="008275B0">
              <w:t>4,6</w:t>
            </w:r>
          </w:p>
        </w:tc>
        <w:tc>
          <w:tcPr>
            <w:tcW w:w="850" w:type="dxa"/>
            <w:vAlign w:val="center"/>
          </w:tcPr>
          <w:p w14:paraId="1A8B15F7" w14:textId="2E19D720" w:rsidR="008275B0" w:rsidRPr="008275B0" w:rsidRDefault="008275B0" w:rsidP="007B2F9D">
            <w:pPr>
              <w:pStyle w:val="af7"/>
              <w:jc w:val="center"/>
            </w:pPr>
            <w:r w:rsidRPr="008275B0">
              <w:t>4,8</w:t>
            </w:r>
          </w:p>
        </w:tc>
        <w:tc>
          <w:tcPr>
            <w:tcW w:w="851" w:type="dxa"/>
            <w:vAlign w:val="center"/>
          </w:tcPr>
          <w:p w14:paraId="64D65C07" w14:textId="285DB676" w:rsidR="008275B0" w:rsidRPr="008275B0" w:rsidRDefault="008275B0" w:rsidP="007B2F9D">
            <w:pPr>
              <w:pStyle w:val="af7"/>
              <w:jc w:val="center"/>
            </w:pPr>
            <w:r w:rsidRPr="008275B0">
              <w:t>4,9</w:t>
            </w:r>
          </w:p>
        </w:tc>
        <w:tc>
          <w:tcPr>
            <w:tcW w:w="850" w:type="dxa"/>
            <w:vAlign w:val="center"/>
          </w:tcPr>
          <w:p w14:paraId="0E955455" w14:textId="2658F6D6" w:rsidR="008275B0" w:rsidRPr="008275B0" w:rsidRDefault="008275B0" w:rsidP="007B2F9D">
            <w:pPr>
              <w:pStyle w:val="af7"/>
              <w:jc w:val="center"/>
            </w:pPr>
            <w:r w:rsidRPr="008275B0">
              <w:t>4,9</w:t>
            </w:r>
          </w:p>
        </w:tc>
        <w:tc>
          <w:tcPr>
            <w:tcW w:w="843" w:type="dxa"/>
            <w:vAlign w:val="center"/>
          </w:tcPr>
          <w:p w14:paraId="11D107EA" w14:textId="37C4E8A8" w:rsidR="008275B0" w:rsidRPr="008275B0" w:rsidRDefault="008275B0" w:rsidP="007B2F9D">
            <w:pPr>
              <w:pStyle w:val="af7"/>
              <w:jc w:val="center"/>
            </w:pPr>
            <w:r w:rsidRPr="008275B0">
              <w:t>4,9</w:t>
            </w:r>
          </w:p>
        </w:tc>
        <w:tc>
          <w:tcPr>
            <w:tcW w:w="717" w:type="dxa"/>
            <w:vAlign w:val="center"/>
          </w:tcPr>
          <w:p w14:paraId="1B2956FB" w14:textId="7589306E" w:rsidR="008275B0" w:rsidRPr="008275B0" w:rsidRDefault="008275B0" w:rsidP="007B2F9D">
            <w:pPr>
              <w:pStyle w:val="af7"/>
              <w:jc w:val="center"/>
            </w:pPr>
            <w:r w:rsidRPr="008275B0">
              <w:t>4,9</w:t>
            </w:r>
          </w:p>
        </w:tc>
        <w:tc>
          <w:tcPr>
            <w:tcW w:w="759" w:type="dxa"/>
            <w:vAlign w:val="center"/>
          </w:tcPr>
          <w:p w14:paraId="1BFA8CCA" w14:textId="5C1845F4" w:rsidR="008275B0" w:rsidRPr="008275B0" w:rsidRDefault="008275B0" w:rsidP="007B2F9D">
            <w:pPr>
              <w:pStyle w:val="af7"/>
              <w:jc w:val="center"/>
            </w:pPr>
            <w:r w:rsidRPr="008275B0">
              <w:t>4,9</w:t>
            </w:r>
          </w:p>
        </w:tc>
        <w:tc>
          <w:tcPr>
            <w:tcW w:w="792" w:type="dxa"/>
            <w:vAlign w:val="center"/>
          </w:tcPr>
          <w:p w14:paraId="75F7DE4C" w14:textId="06C54FBF" w:rsidR="008275B0" w:rsidRPr="008275B0" w:rsidRDefault="008275B0" w:rsidP="007B2F9D">
            <w:pPr>
              <w:pStyle w:val="af7"/>
              <w:jc w:val="center"/>
            </w:pPr>
            <w:r w:rsidRPr="008275B0">
              <w:t>4,9</w:t>
            </w:r>
          </w:p>
        </w:tc>
        <w:tc>
          <w:tcPr>
            <w:tcW w:w="717" w:type="dxa"/>
            <w:vAlign w:val="center"/>
          </w:tcPr>
          <w:p w14:paraId="4117FD4D" w14:textId="0A63CC66" w:rsidR="008275B0" w:rsidRPr="008275B0" w:rsidRDefault="008275B0" w:rsidP="007B2F9D">
            <w:pPr>
              <w:pStyle w:val="af7"/>
              <w:jc w:val="center"/>
            </w:pPr>
            <w:r w:rsidRPr="008275B0">
              <w:t>4,9</w:t>
            </w:r>
          </w:p>
        </w:tc>
        <w:tc>
          <w:tcPr>
            <w:tcW w:w="1842" w:type="dxa"/>
            <w:vMerge/>
            <w:vAlign w:val="center"/>
          </w:tcPr>
          <w:p w14:paraId="505D37D5" w14:textId="77777777" w:rsidR="008275B0" w:rsidRPr="008275B0" w:rsidRDefault="008275B0" w:rsidP="007B2F9D">
            <w:pPr>
              <w:pStyle w:val="af7"/>
            </w:pPr>
          </w:p>
        </w:tc>
      </w:tr>
      <w:tr w:rsidR="00834EE7" w:rsidRPr="008275B0" w14:paraId="12CF8A6F" w14:textId="77777777" w:rsidTr="00834EE7">
        <w:trPr>
          <w:trHeight w:val="617"/>
        </w:trPr>
        <w:tc>
          <w:tcPr>
            <w:tcW w:w="706" w:type="dxa"/>
            <w:vAlign w:val="center"/>
          </w:tcPr>
          <w:p w14:paraId="534762DF" w14:textId="09734959" w:rsidR="00834EE7" w:rsidRPr="008275B0" w:rsidRDefault="007B2F9D" w:rsidP="007B2F9D">
            <w:pPr>
              <w:pStyle w:val="af7"/>
            </w:pPr>
            <w:r>
              <w:t>2.</w:t>
            </w:r>
          </w:p>
        </w:tc>
        <w:tc>
          <w:tcPr>
            <w:tcW w:w="14041" w:type="dxa"/>
            <w:gridSpan w:val="14"/>
            <w:vAlign w:val="center"/>
          </w:tcPr>
          <w:p w14:paraId="6310B3D3" w14:textId="5C14E2E6" w:rsidR="00834EE7" w:rsidRPr="007B2F9D" w:rsidRDefault="00834EE7" w:rsidP="007B2F9D">
            <w:pPr>
              <w:pStyle w:val="af7"/>
              <w:jc w:val="center"/>
              <w:rPr>
                <w:b/>
                <w:sz w:val="24"/>
              </w:rPr>
            </w:pPr>
            <w:r w:rsidRPr="007B2F9D">
              <w:rPr>
                <w:b/>
                <w:sz w:val="24"/>
              </w:rPr>
              <w:t>Приоритет «Устойчивый экономический комплекс»</w:t>
            </w:r>
          </w:p>
        </w:tc>
      </w:tr>
      <w:tr w:rsidR="001E72CC" w:rsidRPr="008275B0" w14:paraId="1469EDC0" w14:textId="77777777" w:rsidTr="002F4AD5">
        <w:trPr>
          <w:trHeight w:val="617"/>
        </w:trPr>
        <w:tc>
          <w:tcPr>
            <w:tcW w:w="706" w:type="dxa"/>
            <w:vAlign w:val="center"/>
          </w:tcPr>
          <w:p w14:paraId="48333DD4" w14:textId="26D17E1A" w:rsidR="001E72CC" w:rsidRPr="008275B0" w:rsidRDefault="007B2F9D" w:rsidP="007B2F9D">
            <w:pPr>
              <w:pStyle w:val="af7"/>
            </w:pPr>
            <w:r>
              <w:lastRenderedPageBreak/>
              <w:t>2.1.</w:t>
            </w:r>
          </w:p>
        </w:tc>
        <w:tc>
          <w:tcPr>
            <w:tcW w:w="2418" w:type="dxa"/>
            <w:vAlign w:val="center"/>
          </w:tcPr>
          <w:p w14:paraId="70D7D0C5" w14:textId="4DCD4309" w:rsidR="001E72CC" w:rsidRPr="008275B0" w:rsidRDefault="001E72CC" w:rsidP="007B2F9D">
            <w:pPr>
              <w:pStyle w:val="af7"/>
            </w:pPr>
            <w:r w:rsidRPr="008275B0">
              <w:t>Объем инвестиций в основной капитал за счет всех источников финансирования</w:t>
            </w:r>
          </w:p>
        </w:tc>
        <w:tc>
          <w:tcPr>
            <w:tcW w:w="850" w:type="dxa"/>
            <w:vAlign w:val="center"/>
          </w:tcPr>
          <w:p w14:paraId="2270FED8" w14:textId="56918D41" w:rsidR="001E72CC" w:rsidRPr="008275B0" w:rsidRDefault="001E72CC" w:rsidP="007B2F9D">
            <w:pPr>
              <w:pStyle w:val="af7"/>
              <w:jc w:val="center"/>
            </w:pPr>
            <w:r w:rsidRPr="008275B0">
              <w:t>млн. руб.</w:t>
            </w:r>
          </w:p>
        </w:tc>
        <w:tc>
          <w:tcPr>
            <w:tcW w:w="851" w:type="dxa"/>
            <w:vAlign w:val="center"/>
          </w:tcPr>
          <w:p w14:paraId="63ED5FE3" w14:textId="642F3ACC" w:rsidR="001E72CC" w:rsidRPr="008275B0" w:rsidRDefault="001E72CC" w:rsidP="007B2F9D">
            <w:pPr>
              <w:pStyle w:val="af7"/>
              <w:jc w:val="center"/>
            </w:pPr>
            <w:r w:rsidRPr="00531BEE">
              <w:t>111 395,9</w:t>
            </w:r>
          </w:p>
        </w:tc>
        <w:tc>
          <w:tcPr>
            <w:tcW w:w="850" w:type="dxa"/>
            <w:vAlign w:val="center"/>
          </w:tcPr>
          <w:p w14:paraId="248462E1" w14:textId="3A49733B" w:rsidR="001E72CC" w:rsidRPr="008275B0" w:rsidRDefault="001E72CC" w:rsidP="007B2F9D">
            <w:pPr>
              <w:pStyle w:val="af7"/>
              <w:jc w:val="center"/>
            </w:pPr>
            <w:r w:rsidRPr="00531BEE">
              <w:t>118 744,7</w:t>
            </w:r>
          </w:p>
        </w:tc>
        <w:tc>
          <w:tcPr>
            <w:tcW w:w="851" w:type="dxa"/>
            <w:vAlign w:val="center"/>
          </w:tcPr>
          <w:p w14:paraId="2E1B1909" w14:textId="324E7178" w:rsidR="001E72CC" w:rsidRPr="008275B0" w:rsidRDefault="001E72CC" w:rsidP="007B2F9D">
            <w:pPr>
              <w:pStyle w:val="af7"/>
              <w:jc w:val="center"/>
            </w:pPr>
            <w:r w:rsidRPr="008275B0">
              <w:t>133571,6</w:t>
            </w:r>
          </w:p>
        </w:tc>
        <w:tc>
          <w:tcPr>
            <w:tcW w:w="850" w:type="dxa"/>
            <w:vAlign w:val="center"/>
          </w:tcPr>
          <w:p w14:paraId="09CEE027" w14:textId="0663E7DE" w:rsidR="001E72CC" w:rsidRPr="008275B0" w:rsidRDefault="001E72CC" w:rsidP="007B2F9D">
            <w:pPr>
              <w:pStyle w:val="af7"/>
              <w:jc w:val="center"/>
            </w:pPr>
            <w:r w:rsidRPr="008275B0">
              <w:t>138914,5</w:t>
            </w:r>
          </w:p>
        </w:tc>
        <w:tc>
          <w:tcPr>
            <w:tcW w:w="851" w:type="dxa"/>
            <w:vAlign w:val="center"/>
          </w:tcPr>
          <w:p w14:paraId="05D21C4C" w14:textId="6F2F4619" w:rsidR="001E72CC" w:rsidRPr="008275B0" w:rsidRDefault="001E72CC" w:rsidP="007B2F9D">
            <w:pPr>
              <w:pStyle w:val="af7"/>
              <w:jc w:val="center"/>
            </w:pPr>
            <w:r w:rsidRPr="008275B0">
              <w:t>144471,1</w:t>
            </w:r>
          </w:p>
        </w:tc>
        <w:tc>
          <w:tcPr>
            <w:tcW w:w="850" w:type="dxa"/>
            <w:vAlign w:val="center"/>
          </w:tcPr>
          <w:p w14:paraId="689438D1" w14:textId="55E662C9" w:rsidR="001E72CC" w:rsidRPr="008275B0" w:rsidRDefault="001E72CC" w:rsidP="007B2F9D">
            <w:pPr>
              <w:pStyle w:val="af7"/>
              <w:jc w:val="center"/>
            </w:pPr>
            <w:r w:rsidRPr="008275B0">
              <w:t>150249,9</w:t>
            </w:r>
          </w:p>
        </w:tc>
        <w:tc>
          <w:tcPr>
            <w:tcW w:w="843" w:type="dxa"/>
            <w:vAlign w:val="center"/>
          </w:tcPr>
          <w:p w14:paraId="1954A662" w14:textId="01806BF8" w:rsidR="001E72CC" w:rsidRPr="008275B0" w:rsidRDefault="001E72CC" w:rsidP="007B2F9D">
            <w:pPr>
              <w:pStyle w:val="af7"/>
              <w:jc w:val="center"/>
            </w:pPr>
            <w:r w:rsidRPr="008275B0">
              <w:t>156259,9</w:t>
            </w:r>
          </w:p>
        </w:tc>
        <w:tc>
          <w:tcPr>
            <w:tcW w:w="717" w:type="dxa"/>
            <w:vAlign w:val="center"/>
          </w:tcPr>
          <w:p w14:paraId="5F7FCC20" w14:textId="32DE8CDC" w:rsidR="001E72CC" w:rsidRPr="008275B0" w:rsidRDefault="001E72CC" w:rsidP="007B2F9D">
            <w:pPr>
              <w:pStyle w:val="af7"/>
              <w:jc w:val="center"/>
            </w:pPr>
            <w:r w:rsidRPr="008275B0">
              <w:t>164072,9</w:t>
            </w:r>
          </w:p>
        </w:tc>
        <w:tc>
          <w:tcPr>
            <w:tcW w:w="759" w:type="dxa"/>
            <w:vAlign w:val="center"/>
          </w:tcPr>
          <w:p w14:paraId="44C6CF40" w14:textId="76F325C8" w:rsidR="001E72CC" w:rsidRPr="008275B0" w:rsidRDefault="001E72CC" w:rsidP="007B2F9D">
            <w:pPr>
              <w:pStyle w:val="af7"/>
              <w:jc w:val="center"/>
            </w:pPr>
            <w:r w:rsidRPr="008275B0">
              <w:t>172276,6</w:t>
            </w:r>
          </w:p>
        </w:tc>
        <w:tc>
          <w:tcPr>
            <w:tcW w:w="792" w:type="dxa"/>
            <w:vAlign w:val="center"/>
          </w:tcPr>
          <w:p w14:paraId="1A09AC1C" w14:textId="59B0F2AD" w:rsidR="001E72CC" w:rsidRPr="008275B0" w:rsidRDefault="001E72CC" w:rsidP="007B2F9D">
            <w:pPr>
              <w:pStyle w:val="af7"/>
              <w:jc w:val="center"/>
            </w:pPr>
            <w:r w:rsidRPr="008275B0">
              <w:t>180890,4</w:t>
            </w:r>
          </w:p>
        </w:tc>
        <w:tc>
          <w:tcPr>
            <w:tcW w:w="717" w:type="dxa"/>
            <w:vAlign w:val="center"/>
          </w:tcPr>
          <w:p w14:paraId="001C6A32" w14:textId="7E553D76" w:rsidR="001E72CC" w:rsidRPr="008275B0" w:rsidRDefault="001E72CC" w:rsidP="007B2F9D">
            <w:pPr>
              <w:pStyle w:val="af7"/>
              <w:jc w:val="center"/>
            </w:pPr>
            <w:r w:rsidRPr="008275B0">
              <w:t>220080,8</w:t>
            </w:r>
          </w:p>
        </w:tc>
        <w:tc>
          <w:tcPr>
            <w:tcW w:w="1842" w:type="dxa"/>
            <w:vMerge w:val="restart"/>
          </w:tcPr>
          <w:p w14:paraId="5D22A03B" w14:textId="54194766" w:rsidR="001E72CC" w:rsidRPr="008275B0" w:rsidRDefault="001E72CC" w:rsidP="007B2F9D">
            <w:pPr>
              <w:pStyle w:val="af7"/>
            </w:pPr>
            <w:r w:rsidRPr="008275B0">
              <w:t>Комитет по экономической политике и предпринимательству администрации Нефтеюганского района</w:t>
            </w:r>
          </w:p>
        </w:tc>
      </w:tr>
      <w:tr w:rsidR="002F4AD5" w:rsidRPr="008275B0" w14:paraId="7382D3EC" w14:textId="77777777" w:rsidTr="002F4AD5">
        <w:trPr>
          <w:trHeight w:val="617"/>
        </w:trPr>
        <w:tc>
          <w:tcPr>
            <w:tcW w:w="706" w:type="dxa"/>
            <w:vAlign w:val="center"/>
          </w:tcPr>
          <w:p w14:paraId="7AA7E7FA" w14:textId="4DDF69B6" w:rsidR="00080881" w:rsidRPr="008275B0" w:rsidRDefault="007B2F9D" w:rsidP="007B2F9D">
            <w:pPr>
              <w:pStyle w:val="af7"/>
            </w:pPr>
            <w:bookmarkStart w:id="58" w:name="OLE_LINK3"/>
            <w:r>
              <w:t>2.2.</w:t>
            </w:r>
            <w:bookmarkEnd w:id="58"/>
          </w:p>
        </w:tc>
        <w:tc>
          <w:tcPr>
            <w:tcW w:w="2418" w:type="dxa"/>
            <w:vAlign w:val="center"/>
          </w:tcPr>
          <w:p w14:paraId="167B50F1" w14:textId="22128004" w:rsidR="00080881" w:rsidRPr="008275B0" w:rsidRDefault="00080881" w:rsidP="007B2F9D">
            <w:pPr>
              <w:pStyle w:val="af7"/>
              <w:rPr>
                <w:b/>
                <w:bCs/>
              </w:rPr>
            </w:pPr>
            <w:r w:rsidRPr="008275B0">
              <w:t>Объем отгруженных товаров собственного производства, выполненных работ и услуг собственными силами</w:t>
            </w:r>
          </w:p>
        </w:tc>
        <w:tc>
          <w:tcPr>
            <w:tcW w:w="850" w:type="dxa"/>
            <w:vAlign w:val="center"/>
          </w:tcPr>
          <w:p w14:paraId="13DCEF6A" w14:textId="1ADEAE0A" w:rsidR="00080881" w:rsidRPr="008275B0" w:rsidRDefault="00080881" w:rsidP="007B2F9D">
            <w:pPr>
              <w:pStyle w:val="af7"/>
              <w:jc w:val="center"/>
            </w:pPr>
            <w:r w:rsidRPr="008275B0">
              <w:t>млн. руб.</w:t>
            </w:r>
          </w:p>
        </w:tc>
        <w:tc>
          <w:tcPr>
            <w:tcW w:w="851" w:type="dxa"/>
            <w:vAlign w:val="center"/>
          </w:tcPr>
          <w:p w14:paraId="1DD98263" w14:textId="15CEA18C" w:rsidR="00080881" w:rsidRPr="008275B0" w:rsidRDefault="00080881" w:rsidP="007B2F9D">
            <w:pPr>
              <w:pStyle w:val="af7"/>
              <w:jc w:val="center"/>
              <w:rPr>
                <w:bCs/>
              </w:rPr>
            </w:pPr>
            <w:r w:rsidRPr="008275B0">
              <w:t>265406,28</w:t>
            </w:r>
          </w:p>
        </w:tc>
        <w:tc>
          <w:tcPr>
            <w:tcW w:w="850" w:type="dxa"/>
            <w:vAlign w:val="center"/>
          </w:tcPr>
          <w:p w14:paraId="3C6BD161" w14:textId="7CAFC61D" w:rsidR="00080881" w:rsidRPr="008275B0" w:rsidRDefault="00080881" w:rsidP="007B2F9D">
            <w:pPr>
              <w:pStyle w:val="af7"/>
              <w:jc w:val="center"/>
              <w:rPr>
                <w:bCs/>
              </w:rPr>
            </w:pPr>
            <w:r w:rsidRPr="008275B0">
              <w:t>273368,5</w:t>
            </w:r>
          </w:p>
        </w:tc>
        <w:tc>
          <w:tcPr>
            <w:tcW w:w="851" w:type="dxa"/>
            <w:vAlign w:val="center"/>
          </w:tcPr>
          <w:p w14:paraId="62B5D7D0" w14:textId="43BDC44B" w:rsidR="00080881" w:rsidRPr="008275B0" w:rsidRDefault="00080881" w:rsidP="007B2F9D">
            <w:pPr>
              <w:pStyle w:val="af7"/>
              <w:jc w:val="center"/>
            </w:pPr>
            <w:r w:rsidRPr="008275B0">
              <w:t>281569,5</w:t>
            </w:r>
          </w:p>
        </w:tc>
        <w:tc>
          <w:tcPr>
            <w:tcW w:w="850" w:type="dxa"/>
            <w:vAlign w:val="center"/>
          </w:tcPr>
          <w:p w14:paraId="43098B51" w14:textId="5411E7CC" w:rsidR="00080881" w:rsidRPr="008275B0" w:rsidRDefault="00080881" w:rsidP="007B2F9D">
            <w:pPr>
              <w:pStyle w:val="af7"/>
              <w:jc w:val="center"/>
            </w:pPr>
            <w:r w:rsidRPr="008275B0">
              <w:t>290016,6</w:t>
            </w:r>
          </w:p>
        </w:tc>
        <w:tc>
          <w:tcPr>
            <w:tcW w:w="851" w:type="dxa"/>
            <w:vAlign w:val="center"/>
          </w:tcPr>
          <w:p w14:paraId="0F4C3FAC" w14:textId="3ECD54CB" w:rsidR="00080881" w:rsidRPr="008275B0" w:rsidRDefault="00080881" w:rsidP="007B2F9D">
            <w:pPr>
              <w:pStyle w:val="af7"/>
              <w:jc w:val="center"/>
              <w:rPr>
                <w:bCs/>
              </w:rPr>
            </w:pPr>
            <w:r w:rsidRPr="008275B0">
              <w:t>298717,1</w:t>
            </w:r>
          </w:p>
        </w:tc>
        <w:tc>
          <w:tcPr>
            <w:tcW w:w="850" w:type="dxa"/>
            <w:vAlign w:val="center"/>
          </w:tcPr>
          <w:p w14:paraId="7B335D42" w14:textId="2F6583B2" w:rsidR="00080881" w:rsidRPr="008275B0" w:rsidRDefault="00080881" w:rsidP="007B2F9D">
            <w:pPr>
              <w:pStyle w:val="af7"/>
              <w:jc w:val="center"/>
              <w:rPr>
                <w:bCs/>
              </w:rPr>
            </w:pPr>
            <w:r w:rsidRPr="008275B0">
              <w:t>307678,6</w:t>
            </w:r>
          </w:p>
        </w:tc>
        <w:tc>
          <w:tcPr>
            <w:tcW w:w="843" w:type="dxa"/>
            <w:vAlign w:val="center"/>
          </w:tcPr>
          <w:p w14:paraId="7C8D9A85" w14:textId="1EAFAA6B" w:rsidR="00080881" w:rsidRPr="008275B0" w:rsidRDefault="00080881" w:rsidP="007B2F9D">
            <w:pPr>
              <w:pStyle w:val="af7"/>
              <w:jc w:val="center"/>
              <w:rPr>
                <w:bCs/>
              </w:rPr>
            </w:pPr>
            <w:r w:rsidRPr="008275B0">
              <w:t>316908,9</w:t>
            </w:r>
          </w:p>
        </w:tc>
        <w:tc>
          <w:tcPr>
            <w:tcW w:w="717" w:type="dxa"/>
            <w:vAlign w:val="center"/>
          </w:tcPr>
          <w:p w14:paraId="5F6DCFBC" w14:textId="48B2C074" w:rsidR="00080881" w:rsidRPr="008275B0" w:rsidRDefault="00080881" w:rsidP="007B2F9D">
            <w:pPr>
              <w:pStyle w:val="af7"/>
              <w:jc w:val="center"/>
              <w:rPr>
                <w:bCs/>
              </w:rPr>
            </w:pPr>
            <w:r w:rsidRPr="008275B0">
              <w:t>326416,3</w:t>
            </w:r>
          </w:p>
        </w:tc>
        <w:tc>
          <w:tcPr>
            <w:tcW w:w="759" w:type="dxa"/>
            <w:vAlign w:val="center"/>
          </w:tcPr>
          <w:p w14:paraId="12C73D09" w14:textId="6FCC2D97" w:rsidR="00080881" w:rsidRPr="008275B0" w:rsidRDefault="00080881" w:rsidP="007B2F9D">
            <w:pPr>
              <w:pStyle w:val="af7"/>
              <w:jc w:val="center"/>
              <w:rPr>
                <w:bCs/>
              </w:rPr>
            </w:pPr>
            <w:r w:rsidRPr="008275B0">
              <w:t>265406,3</w:t>
            </w:r>
          </w:p>
        </w:tc>
        <w:tc>
          <w:tcPr>
            <w:tcW w:w="792" w:type="dxa"/>
            <w:vAlign w:val="center"/>
          </w:tcPr>
          <w:p w14:paraId="007D3EAA" w14:textId="04BB1310" w:rsidR="00080881" w:rsidRPr="008275B0" w:rsidRDefault="00080881" w:rsidP="007B2F9D">
            <w:pPr>
              <w:pStyle w:val="af7"/>
              <w:jc w:val="center"/>
              <w:rPr>
                <w:bCs/>
              </w:rPr>
            </w:pPr>
            <w:r w:rsidRPr="008275B0">
              <w:t>273368,5</w:t>
            </w:r>
          </w:p>
        </w:tc>
        <w:tc>
          <w:tcPr>
            <w:tcW w:w="717" w:type="dxa"/>
            <w:vAlign w:val="center"/>
          </w:tcPr>
          <w:p w14:paraId="5FD9C2AB" w14:textId="13736EFB" w:rsidR="00080881" w:rsidRPr="008275B0" w:rsidRDefault="00080881" w:rsidP="007B2F9D">
            <w:pPr>
              <w:pStyle w:val="af7"/>
              <w:jc w:val="center"/>
            </w:pPr>
            <w:r w:rsidRPr="008275B0">
              <w:t>316909,0</w:t>
            </w:r>
          </w:p>
        </w:tc>
        <w:tc>
          <w:tcPr>
            <w:tcW w:w="1842" w:type="dxa"/>
            <w:vMerge/>
            <w:vAlign w:val="center"/>
          </w:tcPr>
          <w:p w14:paraId="400DFBD4" w14:textId="065DB5EF" w:rsidR="00080881" w:rsidRPr="008275B0" w:rsidRDefault="00080881" w:rsidP="007B2F9D">
            <w:pPr>
              <w:pStyle w:val="af7"/>
            </w:pPr>
          </w:p>
        </w:tc>
      </w:tr>
      <w:tr w:rsidR="002F4AD5" w:rsidRPr="008275B0" w14:paraId="64DDECDE" w14:textId="77777777" w:rsidTr="002F4AD5">
        <w:trPr>
          <w:trHeight w:val="617"/>
        </w:trPr>
        <w:tc>
          <w:tcPr>
            <w:tcW w:w="706" w:type="dxa"/>
            <w:vAlign w:val="center"/>
          </w:tcPr>
          <w:p w14:paraId="40D6A50E" w14:textId="28C9C805" w:rsidR="00080881" w:rsidRPr="008275B0" w:rsidRDefault="007B2F9D" w:rsidP="007B2F9D">
            <w:pPr>
              <w:pStyle w:val="af7"/>
            </w:pPr>
            <w:r>
              <w:t>2.3.</w:t>
            </w:r>
          </w:p>
        </w:tc>
        <w:tc>
          <w:tcPr>
            <w:tcW w:w="2418" w:type="dxa"/>
            <w:vAlign w:val="center"/>
          </w:tcPr>
          <w:p w14:paraId="0586DEFC" w14:textId="2EB9C866" w:rsidR="00080881" w:rsidRPr="008275B0" w:rsidRDefault="00080881" w:rsidP="007B2F9D">
            <w:pPr>
              <w:pStyle w:val="af7"/>
            </w:pPr>
            <w:r w:rsidRPr="008275B0">
              <w:t>Объем отгруженных товаров собственного производства, выполненных работ и услуг собственными силами обрабатывающей промышленности</w:t>
            </w:r>
          </w:p>
        </w:tc>
        <w:tc>
          <w:tcPr>
            <w:tcW w:w="850" w:type="dxa"/>
            <w:vAlign w:val="center"/>
          </w:tcPr>
          <w:p w14:paraId="2225154F" w14:textId="72417062" w:rsidR="00080881" w:rsidRPr="008275B0" w:rsidRDefault="00080881" w:rsidP="007B2F9D">
            <w:pPr>
              <w:pStyle w:val="af7"/>
              <w:jc w:val="center"/>
            </w:pPr>
            <w:r w:rsidRPr="008275B0">
              <w:t>млн. руб</w:t>
            </w:r>
          </w:p>
        </w:tc>
        <w:tc>
          <w:tcPr>
            <w:tcW w:w="851" w:type="dxa"/>
            <w:vAlign w:val="center"/>
          </w:tcPr>
          <w:p w14:paraId="03AF2E2D" w14:textId="40E061F2" w:rsidR="00080881" w:rsidRPr="008275B0" w:rsidRDefault="00080881" w:rsidP="007B2F9D">
            <w:pPr>
              <w:pStyle w:val="af7"/>
              <w:jc w:val="center"/>
            </w:pPr>
            <w:r w:rsidRPr="008275B0">
              <w:t>2574,89</w:t>
            </w:r>
          </w:p>
        </w:tc>
        <w:tc>
          <w:tcPr>
            <w:tcW w:w="850" w:type="dxa"/>
            <w:vAlign w:val="center"/>
          </w:tcPr>
          <w:p w14:paraId="728B29D8" w14:textId="4BBAC931" w:rsidR="00080881" w:rsidRPr="008275B0" w:rsidRDefault="00080881" w:rsidP="007B2F9D">
            <w:pPr>
              <w:pStyle w:val="af7"/>
              <w:jc w:val="center"/>
            </w:pPr>
            <w:r w:rsidRPr="008275B0">
              <w:t>2600,64</w:t>
            </w:r>
          </w:p>
        </w:tc>
        <w:tc>
          <w:tcPr>
            <w:tcW w:w="851" w:type="dxa"/>
            <w:vAlign w:val="center"/>
          </w:tcPr>
          <w:p w14:paraId="2F49FF35" w14:textId="60477DC7" w:rsidR="00080881" w:rsidRPr="008275B0" w:rsidRDefault="00080881" w:rsidP="007B2F9D">
            <w:pPr>
              <w:pStyle w:val="af7"/>
              <w:jc w:val="center"/>
            </w:pPr>
            <w:r w:rsidRPr="008275B0">
              <w:t>2626,64</w:t>
            </w:r>
          </w:p>
        </w:tc>
        <w:tc>
          <w:tcPr>
            <w:tcW w:w="850" w:type="dxa"/>
            <w:vAlign w:val="center"/>
          </w:tcPr>
          <w:p w14:paraId="0BCA8EE5" w14:textId="229BEBA0" w:rsidR="00080881" w:rsidRPr="008275B0" w:rsidRDefault="00080881" w:rsidP="007B2F9D">
            <w:pPr>
              <w:pStyle w:val="af7"/>
              <w:jc w:val="center"/>
            </w:pPr>
            <w:r w:rsidRPr="008275B0">
              <w:t>2705,45</w:t>
            </w:r>
          </w:p>
        </w:tc>
        <w:tc>
          <w:tcPr>
            <w:tcW w:w="851" w:type="dxa"/>
            <w:vAlign w:val="center"/>
          </w:tcPr>
          <w:p w14:paraId="5FD137D5" w14:textId="57881BB7" w:rsidR="00080881" w:rsidRPr="008275B0" w:rsidRDefault="00080881" w:rsidP="007B2F9D">
            <w:pPr>
              <w:pStyle w:val="af7"/>
              <w:jc w:val="center"/>
            </w:pPr>
            <w:r w:rsidRPr="008275B0">
              <w:t>2786,61</w:t>
            </w:r>
          </w:p>
        </w:tc>
        <w:tc>
          <w:tcPr>
            <w:tcW w:w="850" w:type="dxa"/>
            <w:vAlign w:val="center"/>
          </w:tcPr>
          <w:p w14:paraId="7857C3A9" w14:textId="2A59ED48" w:rsidR="00080881" w:rsidRPr="008275B0" w:rsidRDefault="00080881" w:rsidP="007B2F9D">
            <w:pPr>
              <w:pStyle w:val="af7"/>
              <w:jc w:val="center"/>
            </w:pPr>
            <w:r w:rsidRPr="008275B0">
              <w:t>2870,21</w:t>
            </w:r>
          </w:p>
        </w:tc>
        <w:tc>
          <w:tcPr>
            <w:tcW w:w="843" w:type="dxa"/>
            <w:vAlign w:val="center"/>
          </w:tcPr>
          <w:p w14:paraId="59FA3011" w14:textId="2CA08284" w:rsidR="00080881" w:rsidRPr="008275B0" w:rsidRDefault="00080881" w:rsidP="007B2F9D">
            <w:pPr>
              <w:pStyle w:val="af7"/>
              <w:jc w:val="center"/>
            </w:pPr>
            <w:r w:rsidRPr="008275B0">
              <w:t>2956,31</w:t>
            </w:r>
          </w:p>
        </w:tc>
        <w:tc>
          <w:tcPr>
            <w:tcW w:w="717" w:type="dxa"/>
            <w:vAlign w:val="center"/>
          </w:tcPr>
          <w:p w14:paraId="6E12D7D0" w14:textId="5398FAC2" w:rsidR="00080881" w:rsidRPr="008275B0" w:rsidRDefault="00080881" w:rsidP="007B2F9D">
            <w:pPr>
              <w:pStyle w:val="af7"/>
              <w:jc w:val="center"/>
            </w:pPr>
            <w:r w:rsidRPr="008275B0">
              <w:t>3045,0</w:t>
            </w:r>
          </w:p>
        </w:tc>
        <w:tc>
          <w:tcPr>
            <w:tcW w:w="759" w:type="dxa"/>
            <w:vAlign w:val="center"/>
          </w:tcPr>
          <w:p w14:paraId="63EE2605" w14:textId="2ED8D552" w:rsidR="00080881" w:rsidRPr="008275B0" w:rsidRDefault="00080881" w:rsidP="007B2F9D">
            <w:pPr>
              <w:pStyle w:val="af7"/>
              <w:jc w:val="center"/>
            </w:pPr>
            <w:r w:rsidRPr="008275B0">
              <w:t>2574,89</w:t>
            </w:r>
          </w:p>
        </w:tc>
        <w:tc>
          <w:tcPr>
            <w:tcW w:w="792" w:type="dxa"/>
            <w:vAlign w:val="center"/>
          </w:tcPr>
          <w:p w14:paraId="4235778A" w14:textId="325F696F" w:rsidR="00080881" w:rsidRPr="008275B0" w:rsidRDefault="00080881" w:rsidP="007B2F9D">
            <w:pPr>
              <w:pStyle w:val="af7"/>
              <w:jc w:val="center"/>
            </w:pPr>
            <w:r w:rsidRPr="008275B0">
              <w:t>2600,64</w:t>
            </w:r>
          </w:p>
        </w:tc>
        <w:tc>
          <w:tcPr>
            <w:tcW w:w="717" w:type="dxa"/>
            <w:vAlign w:val="center"/>
          </w:tcPr>
          <w:p w14:paraId="1837CE4A" w14:textId="69794B1E" w:rsidR="00080881" w:rsidRPr="008275B0" w:rsidRDefault="00080881" w:rsidP="007B2F9D">
            <w:pPr>
              <w:pStyle w:val="af7"/>
              <w:jc w:val="center"/>
            </w:pPr>
            <w:r w:rsidRPr="008275B0">
              <w:t>2733,3</w:t>
            </w:r>
          </w:p>
        </w:tc>
        <w:tc>
          <w:tcPr>
            <w:tcW w:w="1842" w:type="dxa"/>
            <w:vMerge/>
            <w:vAlign w:val="center"/>
          </w:tcPr>
          <w:p w14:paraId="2FF1A89A" w14:textId="77777777" w:rsidR="00080881" w:rsidRPr="008275B0" w:rsidRDefault="00080881" w:rsidP="007B2F9D">
            <w:pPr>
              <w:pStyle w:val="af7"/>
            </w:pPr>
          </w:p>
        </w:tc>
      </w:tr>
      <w:tr w:rsidR="002F4AD5" w:rsidRPr="008275B0" w14:paraId="7D22EB61" w14:textId="77777777" w:rsidTr="002F4AD5">
        <w:trPr>
          <w:trHeight w:val="617"/>
        </w:trPr>
        <w:tc>
          <w:tcPr>
            <w:tcW w:w="706" w:type="dxa"/>
            <w:vAlign w:val="center"/>
          </w:tcPr>
          <w:p w14:paraId="69B39F52" w14:textId="27E9D9BC" w:rsidR="00080881" w:rsidRPr="008275B0" w:rsidRDefault="007B2F9D" w:rsidP="007B2F9D">
            <w:pPr>
              <w:pStyle w:val="af7"/>
            </w:pPr>
            <w:r>
              <w:t>2.4.</w:t>
            </w:r>
          </w:p>
        </w:tc>
        <w:tc>
          <w:tcPr>
            <w:tcW w:w="2418" w:type="dxa"/>
            <w:vAlign w:val="center"/>
          </w:tcPr>
          <w:p w14:paraId="2AF3EA3A" w14:textId="5CDE7FEB" w:rsidR="00080881" w:rsidRPr="008275B0" w:rsidRDefault="00080881" w:rsidP="007B2F9D">
            <w:pPr>
              <w:pStyle w:val="af7"/>
              <w:rPr>
                <w:b/>
                <w:bCs/>
              </w:rPr>
            </w:pPr>
            <w:r w:rsidRPr="008275B0">
              <w:t xml:space="preserve">Производство продукции сельского хозяйства </w:t>
            </w:r>
          </w:p>
        </w:tc>
        <w:tc>
          <w:tcPr>
            <w:tcW w:w="850" w:type="dxa"/>
            <w:vAlign w:val="center"/>
          </w:tcPr>
          <w:p w14:paraId="6A6D79F3" w14:textId="6BC76E47" w:rsidR="00080881" w:rsidRPr="008275B0" w:rsidRDefault="00080881" w:rsidP="007B2F9D">
            <w:pPr>
              <w:pStyle w:val="af7"/>
              <w:jc w:val="center"/>
            </w:pPr>
            <w:r w:rsidRPr="008275B0">
              <w:t>млн. руб.</w:t>
            </w:r>
          </w:p>
        </w:tc>
        <w:tc>
          <w:tcPr>
            <w:tcW w:w="851" w:type="dxa"/>
            <w:vAlign w:val="center"/>
          </w:tcPr>
          <w:p w14:paraId="04EC590A" w14:textId="589ACDF3" w:rsidR="00080881" w:rsidRPr="008275B0" w:rsidRDefault="00080881" w:rsidP="007B2F9D">
            <w:pPr>
              <w:pStyle w:val="af7"/>
              <w:jc w:val="center"/>
              <w:rPr>
                <w:bCs/>
              </w:rPr>
            </w:pPr>
            <w:r w:rsidRPr="008275B0">
              <w:t>275,4</w:t>
            </w:r>
          </w:p>
        </w:tc>
        <w:tc>
          <w:tcPr>
            <w:tcW w:w="850" w:type="dxa"/>
            <w:vAlign w:val="center"/>
          </w:tcPr>
          <w:p w14:paraId="7A208E79" w14:textId="04DF524C" w:rsidR="00080881" w:rsidRPr="008275B0" w:rsidRDefault="00080881" w:rsidP="007B2F9D">
            <w:pPr>
              <w:pStyle w:val="af7"/>
              <w:jc w:val="center"/>
              <w:rPr>
                <w:bCs/>
              </w:rPr>
            </w:pPr>
            <w:r w:rsidRPr="008275B0">
              <w:t>280,9</w:t>
            </w:r>
          </w:p>
        </w:tc>
        <w:tc>
          <w:tcPr>
            <w:tcW w:w="851" w:type="dxa"/>
            <w:vAlign w:val="center"/>
          </w:tcPr>
          <w:p w14:paraId="0A366ABE" w14:textId="570274B2" w:rsidR="00080881" w:rsidRPr="008275B0" w:rsidRDefault="00080881" w:rsidP="007B2F9D">
            <w:pPr>
              <w:pStyle w:val="af7"/>
              <w:jc w:val="center"/>
            </w:pPr>
            <w:r w:rsidRPr="008275B0">
              <w:t>286,5</w:t>
            </w:r>
          </w:p>
        </w:tc>
        <w:tc>
          <w:tcPr>
            <w:tcW w:w="850" w:type="dxa"/>
            <w:vAlign w:val="center"/>
          </w:tcPr>
          <w:p w14:paraId="3719881E" w14:textId="39293775" w:rsidR="00080881" w:rsidRPr="008275B0" w:rsidRDefault="00080881" w:rsidP="007B2F9D">
            <w:pPr>
              <w:pStyle w:val="af7"/>
              <w:jc w:val="center"/>
            </w:pPr>
            <w:r w:rsidRPr="008275B0">
              <w:t>297,9</w:t>
            </w:r>
          </w:p>
        </w:tc>
        <w:tc>
          <w:tcPr>
            <w:tcW w:w="851" w:type="dxa"/>
            <w:vAlign w:val="center"/>
          </w:tcPr>
          <w:p w14:paraId="4E06C0DA" w14:textId="4796DCE4" w:rsidR="00080881" w:rsidRPr="008275B0" w:rsidRDefault="00080881" w:rsidP="007B2F9D">
            <w:pPr>
              <w:pStyle w:val="af7"/>
              <w:jc w:val="center"/>
              <w:rPr>
                <w:bCs/>
              </w:rPr>
            </w:pPr>
            <w:r w:rsidRPr="008275B0">
              <w:t>309,9</w:t>
            </w:r>
          </w:p>
        </w:tc>
        <w:tc>
          <w:tcPr>
            <w:tcW w:w="850" w:type="dxa"/>
            <w:vAlign w:val="center"/>
          </w:tcPr>
          <w:p w14:paraId="74213FA3" w14:textId="16835E4B" w:rsidR="00080881" w:rsidRPr="008275B0" w:rsidRDefault="00080881" w:rsidP="007B2F9D">
            <w:pPr>
              <w:pStyle w:val="af7"/>
              <w:jc w:val="center"/>
              <w:rPr>
                <w:bCs/>
              </w:rPr>
            </w:pPr>
            <w:r w:rsidRPr="008275B0">
              <w:t>322,3</w:t>
            </w:r>
          </w:p>
        </w:tc>
        <w:tc>
          <w:tcPr>
            <w:tcW w:w="843" w:type="dxa"/>
            <w:vAlign w:val="center"/>
          </w:tcPr>
          <w:p w14:paraId="3A934541" w14:textId="4A0FF2D0" w:rsidR="00080881" w:rsidRPr="008275B0" w:rsidRDefault="00080881" w:rsidP="007B2F9D">
            <w:pPr>
              <w:pStyle w:val="af7"/>
              <w:jc w:val="center"/>
              <w:rPr>
                <w:bCs/>
              </w:rPr>
            </w:pPr>
            <w:r w:rsidRPr="008275B0">
              <w:t>335,2</w:t>
            </w:r>
          </w:p>
        </w:tc>
        <w:tc>
          <w:tcPr>
            <w:tcW w:w="717" w:type="dxa"/>
            <w:vAlign w:val="center"/>
          </w:tcPr>
          <w:p w14:paraId="3ED49DF6" w14:textId="72E148E9" w:rsidR="00080881" w:rsidRPr="008275B0" w:rsidRDefault="00080881" w:rsidP="007B2F9D">
            <w:pPr>
              <w:pStyle w:val="af7"/>
              <w:jc w:val="center"/>
              <w:rPr>
                <w:bCs/>
              </w:rPr>
            </w:pPr>
            <w:r w:rsidRPr="008275B0">
              <w:t>348,6</w:t>
            </w:r>
          </w:p>
        </w:tc>
        <w:tc>
          <w:tcPr>
            <w:tcW w:w="759" w:type="dxa"/>
            <w:vAlign w:val="center"/>
          </w:tcPr>
          <w:p w14:paraId="7DBCCDEA" w14:textId="245F23BF" w:rsidR="00080881" w:rsidRPr="008275B0" w:rsidRDefault="00080881" w:rsidP="007B2F9D">
            <w:pPr>
              <w:pStyle w:val="af7"/>
              <w:jc w:val="center"/>
              <w:rPr>
                <w:bCs/>
              </w:rPr>
            </w:pPr>
            <w:r w:rsidRPr="008275B0">
              <w:t>275,4</w:t>
            </w:r>
          </w:p>
        </w:tc>
        <w:tc>
          <w:tcPr>
            <w:tcW w:w="792" w:type="dxa"/>
            <w:vAlign w:val="center"/>
          </w:tcPr>
          <w:p w14:paraId="4F348B42" w14:textId="5F6A4595" w:rsidR="00080881" w:rsidRPr="008275B0" w:rsidRDefault="00080881" w:rsidP="007B2F9D">
            <w:pPr>
              <w:pStyle w:val="af7"/>
              <w:jc w:val="center"/>
              <w:rPr>
                <w:bCs/>
              </w:rPr>
            </w:pPr>
            <w:r w:rsidRPr="008275B0">
              <w:t>280,9</w:t>
            </w:r>
          </w:p>
        </w:tc>
        <w:tc>
          <w:tcPr>
            <w:tcW w:w="717" w:type="dxa"/>
            <w:vAlign w:val="center"/>
          </w:tcPr>
          <w:p w14:paraId="2DCF498E" w14:textId="56C6212B" w:rsidR="00080881" w:rsidRPr="008275B0" w:rsidRDefault="00080881" w:rsidP="007B2F9D">
            <w:pPr>
              <w:pStyle w:val="af7"/>
              <w:jc w:val="center"/>
            </w:pPr>
            <w:r w:rsidRPr="008275B0">
              <w:t>310,1</w:t>
            </w:r>
          </w:p>
        </w:tc>
        <w:tc>
          <w:tcPr>
            <w:tcW w:w="1842" w:type="dxa"/>
          </w:tcPr>
          <w:p w14:paraId="0445999E" w14:textId="65533872" w:rsidR="00080881" w:rsidRPr="008275B0" w:rsidRDefault="00080881" w:rsidP="007B2F9D">
            <w:pPr>
              <w:pStyle w:val="af7"/>
              <w:rPr>
                <w:b/>
                <w:bCs/>
              </w:rPr>
            </w:pPr>
            <w:r w:rsidRPr="008275B0">
              <w:t>Отдел по сельскому хозяйству администрации Нефтеюганского района</w:t>
            </w:r>
          </w:p>
        </w:tc>
      </w:tr>
      <w:tr w:rsidR="002F4AD5" w:rsidRPr="008275B0" w14:paraId="3F44C1E8" w14:textId="77777777" w:rsidTr="002F4AD5">
        <w:trPr>
          <w:trHeight w:val="617"/>
        </w:trPr>
        <w:tc>
          <w:tcPr>
            <w:tcW w:w="706" w:type="dxa"/>
            <w:vAlign w:val="center"/>
          </w:tcPr>
          <w:p w14:paraId="4BFCA47C" w14:textId="239A0D26" w:rsidR="00080881" w:rsidRPr="008275B0" w:rsidRDefault="007B2F9D" w:rsidP="007B2F9D">
            <w:pPr>
              <w:pStyle w:val="af7"/>
            </w:pPr>
            <w:r>
              <w:t>2.5.</w:t>
            </w:r>
          </w:p>
        </w:tc>
        <w:tc>
          <w:tcPr>
            <w:tcW w:w="2418" w:type="dxa"/>
            <w:vAlign w:val="center"/>
          </w:tcPr>
          <w:p w14:paraId="363EFC4B" w14:textId="24134D64" w:rsidR="00080881" w:rsidRPr="008275B0" w:rsidRDefault="00080881" w:rsidP="007B2F9D">
            <w:pPr>
              <w:pStyle w:val="af7"/>
              <w:rPr>
                <w:b/>
                <w:bCs/>
              </w:rPr>
            </w:pPr>
            <w:r w:rsidRPr="008275B0">
              <w:t>Объём работ, выполненных по виду деятельности «Строительство»</w:t>
            </w:r>
          </w:p>
        </w:tc>
        <w:tc>
          <w:tcPr>
            <w:tcW w:w="850" w:type="dxa"/>
            <w:vAlign w:val="center"/>
          </w:tcPr>
          <w:p w14:paraId="29619B85" w14:textId="60953514" w:rsidR="00080881" w:rsidRPr="008275B0" w:rsidRDefault="00080881" w:rsidP="007B2F9D">
            <w:pPr>
              <w:pStyle w:val="af7"/>
              <w:jc w:val="center"/>
            </w:pPr>
            <w:r w:rsidRPr="008275B0">
              <w:t>млн. руб.</w:t>
            </w:r>
          </w:p>
        </w:tc>
        <w:tc>
          <w:tcPr>
            <w:tcW w:w="851" w:type="dxa"/>
            <w:vAlign w:val="center"/>
          </w:tcPr>
          <w:p w14:paraId="209801BA" w14:textId="54BE4D35" w:rsidR="00080881" w:rsidRPr="008275B0" w:rsidRDefault="00080881" w:rsidP="007B2F9D">
            <w:pPr>
              <w:pStyle w:val="af7"/>
              <w:jc w:val="center"/>
              <w:rPr>
                <w:bCs/>
              </w:rPr>
            </w:pPr>
            <w:r w:rsidRPr="008275B0">
              <w:t>3526,2</w:t>
            </w:r>
          </w:p>
        </w:tc>
        <w:tc>
          <w:tcPr>
            <w:tcW w:w="850" w:type="dxa"/>
            <w:vAlign w:val="center"/>
          </w:tcPr>
          <w:p w14:paraId="02871032" w14:textId="02E3FFD1" w:rsidR="00080881" w:rsidRPr="008275B0" w:rsidRDefault="00080881" w:rsidP="007B2F9D">
            <w:pPr>
              <w:pStyle w:val="af7"/>
              <w:jc w:val="center"/>
              <w:rPr>
                <w:bCs/>
              </w:rPr>
            </w:pPr>
            <w:r w:rsidRPr="008275B0">
              <w:t>3561,5</w:t>
            </w:r>
          </w:p>
        </w:tc>
        <w:tc>
          <w:tcPr>
            <w:tcW w:w="851" w:type="dxa"/>
            <w:vAlign w:val="center"/>
          </w:tcPr>
          <w:p w14:paraId="5A3111D9" w14:textId="5D185DD7" w:rsidR="00080881" w:rsidRPr="008275B0" w:rsidRDefault="00080881" w:rsidP="007B2F9D">
            <w:pPr>
              <w:pStyle w:val="af7"/>
              <w:jc w:val="center"/>
            </w:pPr>
            <w:r w:rsidRPr="008275B0">
              <w:t>3597,1</w:t>
            </w:r>
          </w:p>
        </w:tc>
        <w:tc>
          <w:tcPr>
            <w:tcW w:w="850" w:type="dxa"/>
            <w:vAlign w:val="center"/>
          </w:tcPr>
          <w:p w14:paraId="17F9E456" w14:textId="2444B78D" w:rsidR="00080881" w:rsidRPr="008275B0" w:rsidRDefault="00080881" w:rsidP="007B2F9D">
            <w:pPr>
              <w:pStyle w:val="af7"/>
              <w:jc w:val="center"/>
            </w:pPr>
            <w:r w:rsidRPr="008275B0">
              <w:t>3705,0</w:t>
            </w:r>
          </w:p>
        </w:tc>
        <w:tc>
          <w:tcPr>
            <w:tcW w:w="851" w:type="dxa"/>
            <w:vAlign w:val="center"/>
          </w:tcPr>
          <w:p w14:paraId="1284F68E" w14:textId="3DCF6B78" w:rsidR="00080881" w:rsidRPr="008275B0" w:rsidRDefault="00080881" w:rsidP="007B2F9D">
            <w:pPr>
              <w:pStyle w:val="af7"/>
              <w:jc w:val="center"/>
              <w:rPr>
                <w:bCs/>
              </w:rPr>
            </w:pPr>
            <w:r w:rsidRPr="008275B0">
              <w:t>3816,2</w:t>
            </w:r>
          </w:p>
        </w:tc>
        <w:tc>
          <w:tcPr>
            <w:tcW w:w="850" w:type="dxa"/>
            <w:vAlign w:val="center"/>
          </w:tcPr>
          <w:p w14:paraId="11F35565" w14:textId="0938C772" w:rsidR="00080881" w:rsidRPr="008275B0" w:rsidRDefault="00080881" w:rsidP="007B2F9D">
            <w:pPr>
              <w:pStyle w:val="af7"/>
              <w:jc w:val="center"/>
              <w:rPr>
                <w:bCs/>
              </w:rPr>
            </w:pPr>
            <w:r w:rsidRPr="008275B0">
              <w:t>3930,6</w:t>
            </w:r>
          </w:p>
        </w:tc>
        <w:tc>
          <w:tcPr>
            <w:tcW w:w="843" w:type="dxa"/>
            <w:vAlign w:val="center"/>
          </w:tcPr>
          <w:p w14:paraId="3F1FC9D3" w14:textId="038E93BA" w:rsidR="00080881" w:rsidRPr="008275B0" w:rsidRDefault="00080881" w:rsidP="007B2F9D">
            <w:pPr>
              <w:pStyle w:val="af7"/>
              <w:jc w:val="center"/>
              <w:rPr>
                <w:bCs/>
              </w:rPr>
            </w:pPr>
            <w:r w:rsidRPr="008275B0">
              <w:t>4048,6</w:t>
            </w:r>
          </w:p>
        </w:tc>
        <w:tc>
          <w:tcPr>
            <w:tcW w:w="717" w:type="dxa"/>
            <w:vAlign w:val="center"/>
          </w:tcPr>
          <w:p w14:paraId="418E7E17" w14:textId="3869F7CB" w:rsidR="00080881" w:rsidRPr="008275B0" w:rsidRDefault="00080881" w:rsidP="007B2F9D">
            <w:pPr>
              <w:pStyle w:val="af7"/>
              <w:jc w:val="center"/>
              <w:rPr>
                <w:bCs/>
              </w:rPr>
            </w:pPr>
            <w:r w:rsidRPr="008275B0">
              <w:t>4170,0</w:t>
            </w:r>
          </w:p>
        </w:tc>
        <w:tc>
          <w:tcPr>
            <w:tcW w:w="759" w:type="dxa"/>
            <w:vAlign w:val="center"/>
          </w:tcPr>
          <w:p w14:paraId="12881B6A" w14:textId="3265B1AB" w:rsidR="00080881" w:rsidRPr="008275B0" w:rsidRDefault="00080881" w:rsidP="007B2F9D">
            <w:pPr>
              <w:pStyle w:val="af7"/>
              <w:jc w:val="center"/>
              <w:rPr>
                <w:bCs/>
              </w:rPr>
            </w:pPr>
            <w:r w:rsidRPr="008275B0">
              <w:t>3526,2</w:t>
            </w:r>
          </w:p>
        </w:tc>
        <w:tc>
          <w:tcPr>
            <w:tcW w:w="792" w:type="dxa"/>
            <w:vAlign w:val="center"/>
          </w:tcPr>
          <w:p w14:paraId="0A9069EF" w14:textId="637593BA" w:rsidR="00080881" w:rsidRPr="008275B0" w:rsidRDefault="00080881" w:rsidP="007B2F9D">
            <w:pPr>
              <w:pStyle w:val="af7"/>
              <w:jc w:val="center"/>
              <w:rPr>
                <w:bCs/>
              </w:rPr>
            </w:pPr>
            <w:r w:rsidRPr="008275B0">
              <w:t>3561,5</w:t>
            </w:r>
          </w:p>
        </w:tc>
        <w:tc>
          <w:tcPr>
            <w:tcW w:w="717" w:type="dxa"/>
            <w:vAlign w:val="center"/>
          </w:tcPr>
          <w:p w14:paraId="613CA0AE" w14:textId="1B042821" w:rsidR="00080881" w:rsidRPr="008275B0" w:rsidRDefault="00080881" w:rsidP="007B2F9D">
            <w:pPr>
              <w:pStyle w:val="af7"/>
              <w:jc w:val="center"/>
            </w:pPr>
            <w:r w:rsidRPr="008275B0">
              <w:t>4604,0</w:t>
            </w:r>
          </w:p>
        </w:tc>
        <w:tc>
          <w:tcPr>
            <w:tcW w:w="1842" w:type="dxa"/>
          </w:tcPr>
          <w:p w14:paraId="6DED2F84" w14:textId="539C22C3" w:rsidR="00080881" w:rsidRPr="008275B0" w:rsidRDefault="00080881" w:rsidP="007B2F9D">
            <w:pPr>
              <w:pStyle w:val="af7"/>
              <w:rPr>
                <w:b/>
                <w:bCs/>
              </w:rPr>
            </w:pPr>
            <w:r w:rsidRPr="008275B0">
              <w:t>Департамент строительства и жилищно-коммунального комплекса Нефтеюганского района</w:t>
            </w:r>
          </w:p>
        </w:tc>
      </w:tr>
      <w:tr w:rsidR="002F4AD5" w:rsidRPr="008275B0" w14:paraId="6F79303E" w14:textId="77777777" w:rsidTr="002F4AD5">
        <w:trPr>
          <w:trHeight w:val="617"/>
        </w:trPr>
        <w:tc>
          <w:tcPr>
            <w:tcW w:w="706" w:type="dxa"/>
            <w:vAlign w:val="center"/>
          </w:tcPr>
          <w:p w14:paraId="1A70F675" w14:textId="3E0BF45B" w:rsidR="00080881" w:rsidRPr="008275B0" w:rsidRDefault="007B2F9D" w:rsidP="007B2F9D">
            <w:pPr>
              <w:pStyle w:val="af7"/>
            </w:pPr>
            <w:r>
              <w:t>2.6.</w:t>
            </w:r>
          </w:p>
        </w:tc>
        <w:tc>
          <w:tcPr>
            <w:tcW w:w="2418" w:type="dxa"/>
            <w:vAlign w:val="center"/>
          </w:tcPr>
          <w:p w14:paraId="7AABB746" w14:textId="140C3B65" w:rsidR="00080881" w:rsidRPr="008275B0" w:rsidRDefault="00080881" w:rsidP="007B2F9D">
            <w:pPr>
              <w:pStyle w:val="af7"/>
              <w:rPr>
                <w:b/>
                <w:bCs/>
              </w:rPr>
            </w:pPr>
            <w:r w:rsidRPr="008275B0">
              <w:t>Число малых, включая микропредприятия, и средних предприятий (на конец года)</w:t>
            </w:r>
          </w:p>
        </w:tc>
        <w:tc>
          <w:tcPr>
            <w:tcW w:w="850" w:type="dxa"/>
            <w:vAlign w:val="center"/>
          </w:tcPr>
          <w:p w14:paraId="28A2F14A" w14:textId="520872B6" w:rsidR="00080881" w:rsidRPr="008275B0" w:rsidRDefault="00080881" w:rsidP="007B2F9D">
            <w:pPr>
              <w:pStyle w:val="af7"/>
              <w:jc w:val="center"/>
            </w:pPr>
            <w:r w:rsidRPr="008275B0">
              <w:t>ед.</w:t>
            </w:r>
          </w:p>
        </w:tc>
        <w:tc>
          <w:tcPr>
            <w:tcW w:w="851" w:type="dxa"/>
            <w:vAlign w:val="center"/>
          </w:tcPr>
          <w:p w14:paraId="0E0F7D47" w14:textId="4C6532B3" w:rsidR="00080881" w:rsidRPr="008275B0" w:rsidRDefault="00080881" w:rsidP="007B2F9D">
            <w:pPr>
              <w:pStyle w:val="af7"/>
              <w:jc w:val="center"/>
              <w:rPr>
                <w:bCs/>
              </w:rPr>
            </w:pPr>
            <w:r w:rsidRPr="008275B0">
              <w:t>307</w:t>
            </w:r>
          </w:p>
        </w:tc>
        <w:tc>
          <w:tcPr>
            <w:tcW w:w="850" w:type="dxa"/>
            <w:vAlign w:val="center"/>
          </w:tcPr>
          <w:p w14:paraId="0345B4A9" w14:textId="6156CC4D" w:rsidR="00080881" w:rsidRPr="008275B0" w:rsidRDefault="00080881" w:rsidP="007B2F9D">
            <w:pPr>
              <w:pStyle w:val="af7"/>
              <w:jc w:val="center"/>
              <w:rPr>
                <w:bCs/>
              </w:rPr>
            </w:pPr>
            <w:r w:rsidRPr="008275B0">
              <w:t>311</w:t>
            </w:r>
          </w:p>
        </w:tc>
        <w:tc>
          <w:tcPr>
            <w:tcW w:w="851" w:type="dxa"/>
            <w:vAlign w:val="center"/>
          </w:tcPr>
          <w:p w14:paraId="6F8698B5" w14:textId="4659A3C7" w:rsidR="00080881" w:rsidRPr="008275B0" w:rsidRDefault="00080881" w:rsidP="007B2F9D">
            <w:pPr>
              <w:pStyle w:val="af7"/>
              <w:jc w:val="center"/>
            </w:pPr>
            <w:r w:rsidRPr="008275B0">
              <w:t>315</w:t>
            </w:r>
          </w:p>
        </w:tc>
        <w:tc>
          <w:tcPr>
            <w:tcW w:w="850" w:type="dxa"/>
            <w:vAlign w:val="center"/>
          </w:tcPr>
          <w:p w14:paraId="2C2EA74B" w14:textId="47A236BB" w:rsidR="00080881" w:rsidRPr="008275B0" w:rsidRDefault="00080881" w:rsidP="007B2F9D">
            <w:pPr>
              <w:pStyle w:val="af7"/>
              <w:jc w:val="center"/>
            </w:pPr>
            <w:r w:rsidRPr="008275B0">
              <w:t>320</w:t>
            </w:r>
          </w:p>
        </w:tc>
        <w:tc>
          <w:tcPr>
            <w:tcW w:w="851" w:type="dxa"/>
            <w:vAlign w:val="center"/>
          </w:tcPr>
          <w:p w14:paraId="24305CC9" w14:textId="5186B90F" w:rsidR="00080881" w:rsidRPr="008275B0" w:rsidRDefault="00080881" w:rsidP="007B2F9D">
            <w:pPr>
              <w:pStyle w:val="af7"/>
              <w:jc w:val="center"/>
              <w:rPr>
                <w:bCs/>
              </w:rPr>
            </w:pPr>
            <w:r w:rsidRPr="008275B0">
              <w:t>325</w:t>
            </w:r>
          </w:p>
        </w:tc>
        <w:tc>
          <w:tcPr>
            <w:tcW w:w="850" w:type="dxa"/>
            <w:vAlign w:val="center"/>
          </w:tcPr>
          <w:p w14:paraId="6E6456FF" w14:textId="5F25169C" w:rsidR="00080881" w:rsidRPr="008275B0" w:rsidRDefault="00080881" w:rsidP="007B2F9D">
            <w:pPr>
              <w:pStyle w:val="af7"/>
              <w:jc w:val="center"/>
              <w:rPr>
                <w:bCs/>
              </w:rPr>
            </w:pPr>
            <w:r w:rsidRPr="008275B0">
              <w:t>330</w:t>
            </w:r>
          </w:p>
        </w:tc>
        <w:tc>
          <w:tcPr>
            <w:tcW w:w="843" w:type="dxa"/>
            <w:vAlign w:val="center"/>
          </w:tcPr>
          <w:p w14:paraId="1A6A6C86" w14:textId="3AEA23D2" w:rsidR="00080881" w:rsidRPr="008275B0" w:rsidRDefault="00080881" w:rsidP="007B2F9D">
            <w:pPr>
              <w:pStyle w:val="af7"/>
              <w:jc w:val="center"/>
              <w:rPr>
                <w:bCs/>
              </w:rPr>
            </w:pPr>
            <w:r w:rsidRPr="008275B0">
              <w:t>335</w:t>
            </w:r>
          </w:p>
        </w:tc>
        <w:tc>
          <w:tcPr>
            <w:tcW w:w="717" w:type="dxa"/>
            <w:vAlign w:val="center"/>
          </w:tcPr>
          <w:p w14:paraId="7FD21C21" w14:textId="1BA42520" w:rsidR="00080881" w:rsidRPr="008275B0" w:rsidRDefault="00080881" w:rsidP="007B2F9D">
            <w:pPr>
              <w:pStyle w:val="af7"/>
              <w:jc w:val="center"/>
              <w:rPr>
                <w:bCs/>
              </w:rPr>
            </w:pPr>
            <w:r w:rsidRPr="008275B0">
              <w:t>340</w:t>
            </w:r>
          </w:p>
        </w:tc>
        <w:tc>
          <w:tcPr>
            <w:tcW w:w="759" w:type="dxa"/>
            <w:vAlign w:val="center"/>
          </w:tcPr>
          <w:p w14:paraId="3A8E1AD2" w14:textId="572307F5" w:rsidR="00080881" w:rsidRPr="008275B0" w:rsidRDefault="00080881" w:rsidP="007B2F9D">
            <w:pPr>
              <w:pStyle w:val="af7"/>
              <w:jc w:val="center"/>
              <w:rPr>
                <w:bCs/>
              </w:rPr>
            </w:pPr>
            <w:r w:rsidRPr="008275B0">
              <w:t>345</w:t>
            </w:r>
          </w:p>
        </w:tc>
        <w:tc>
          <w:tcPr>
            <w:tcW w:w="792" w:type="dxa"/>
            <w:vAlign w:val="center"/>
          </w:tcPr>
          <w:p w14:paraId="78A7B570" w14:textId="7DF27F19" w:rsidR="00080881" w:rsidRPr="008275B0" w:rsidRDefault="00080881" w:rsidP="007B2F9D">
            <w:pPr>
              <w:pStyle w:val="af7"/>
              <w:jc w:val="center"/>
              <w:rPr>
                <w:bCs/>
              </w:rPr>
            </w:pPr>
            <w:r w:rsidRPr="008275B0">
              <w:t>350</w:t>
            </w:r>
          </w:p>
        </w:tc>
        <w:tc>
          <w:tcPr>
            <w:tcW w:w="717" w:type="dxa"/>
            <w:vAlign w:val="center"/>
          </w:tcPr>
          <w:p w14:paraId="54E89102" w14:textId="15B46677" w:rsidR="00080881" w:rsidRPr="008275B0" w:rsidRDefault="00080881" w:rsidP="007B2F9D">
            <w:pPr>
              <w:pStyle w:val="af7"/>
              <w:jc w:val="center"/>
              <w:rPr>
                <w:bCs/>
              </w:rPr>
            </w:pPr>
            <w:r w:rsidRPr="008275B0">
              <w:t>370</w:t>
            </w:r>
          </w:p>
        </w:tc>
        <w:tc>
          <w:tcPr>
            <w:tcW w:w="1842" w:type="dxa"/>
            <w:vMerge w:val="restart"/>
          </w:tcPr>
          <w:p w14:paraId="790FD55C" w14:textId="26345712" w:rsidR="00080881" w:rsidRPr="008275B0" w:rsidRDefault="00080881" w:rsidP="007B2F9D">
            <w:pPr>
              <w:pStyle w:val="af7"/>
              <w:rPr>
                <w:b/>
                <w:bCs/>
              </w:rPr>
            </w:pPr>
            <w:r w:rsidRPr="008275B0">
              <w:t xml:space="preserve">Комитет по экономической политике и предпринимательству администрации Нефтеюганского </w:t>
            </w:r>
            <w:r w:rsidRPr="008275B0">
              <w:lastRenderedPageBreak/>
              <w:t>района</w:t>
            </w:r>
          </w:p>
        </w:tc>
      </w:tr>
      <w:tr w:rsidR="002F4AD5" w:rsidRPr="008275B0" w14:paraId="3A2BF9B4" w14:textId="77777777" w:rsidTr="002F4AD5">
        <w:trPr>
          <w:trHeight w:val="617"/>
        </w:trPr>
        <w:tc>
          <w:tcPr>
            <w:tcW w:w="706" w:type="dxa"/>
            <w:vAlign w:val="center"/>
          </w:tcPr>
          <w:p w14:paraId="04306D8F" w14:textId="45C2172A" w:rsidR="00080881" w:rsidRPr="008275B0" w:rsidRDefault="007B2F9D" w:rsidP="007B2F9D">
            <w:pPr>
              <w:pStyle w:val="af7"/>
            </w:pPr>
            <w:r>
              <w:t>2.7.</w:t>
            </w:r>
          </w:p>
        </w:tc>
        <w:tc>
          <w:tcPr>
            <w:tcW w:w="2418" w:type="dxa"/>
            <w:vAlign w:val="center"/>
          </w:tcPr>
          <w:p w14:paraId="50E7B63A" w14:textId="6C5EF765" w:rsidR="00080881" w:rsidRPr="008275B0" w:rsidRDefault="00080881" w:rsidP="007B2F9D">
            <w:pPr>
              <w:pStyle w:val="af7"/>
              <w:rPr>
                <w:b/>
                <w:bCs/>
              </w:rPr>
            </w:pPr>
            <w:r w:rsidRPr="008275B0">
              <w:t xml:space="preserve">Среднесписочная численность работников (без внешних </w:t>
            </w:r>
            <w:r w:rsidRPr="008275B0">
              <w:lastRenderedPageBreak/>
              <w:t>совместителей) малых, включая микропредприятия, и средних предприятий</w:t>
            </w:r>
          </w:p>
        </w:tc>
        <w:tc>
          <w:tcPr>
            <w:tcW w:w="850" w:type="dxa"/>
            <w:vAlign w:val="center"/>
          </w:tcPr>
          <w:p w14:paraId="6446C083" w14:textId="2F42C93A" w:rsidR="00080881" w:rsidRPr="008275B0" w:rsidRDefault="00080881" w:rsidP="007B2F9D">
            <w:pPr>
              <w:pStyle w:val="af7"/>
              <w:jc w:val="center"/>
            </w:pPr>
            <w:r w:rsidRPr="008275B0">
              <w:lastRenderedPageBreak/>
              <w:t>тыс. чел.</w:t>
            </w:r>
          </w:p>
        </w:tc>
        <w:tc>
          <w:tcPr>
            <w:tcW w:w="851" w:type="dxa"/>
            <w:vAlign w:val="center"/>
          </w:tcPr>
          <w:p w14:paraId="09543B95" w14:textId="01C7BC25" w:rsidR="00080881" w:rsidRPr="008275B0" w:rsidRDefault="00080881" w:rsidP="007B2F9D">
            <w:pPr>
              <w:pStyle w:val="af7"/>
              <w:jc w:val="center"/>
              <w:rPr>
                <w:bCs/>
              </w:rPr>
            </w:pPr>
            <w:r w:rsidRPr="008275B0">
              <w:t>5,6</w:t>
            </w:r>
          </w:p>
        </w:tc>
        <w:tc>
          <w:tcPr>
            <w:tcW w:w="850" w:type="dxa"/>
            <w:vAlign w:val="center"/>
          </w:tcPr>
          <w:p w14:paraId="7F7E7C5F" w14:textId="47ED9C29" w:rsidR="00080881" w:rsidRPr="008275B0" w:rsidRDefault="00080881" w:rsidP="007B2F9D">
            <w:pPr>
              <w:pStyle w:val="af7"/>
              <w:jc w:val="center"/>
              <w:rPr>
                <w:bCs/>
              </w:rPr>
            </w:pPr>
            <w:r w:rsidRPr="008275B0">
              <w:t>5,7</w:t>
            </w:r>
          </w:p>
        </w:tc>
        <w:tc>
          <w:tcPr>
            <w:tcW w:w="851" w:type="dxa"/>
            <w:vAlign w:val="center"/>
          </w:tcPr>
          <w:p w14:paraId="401C939A" w14:textId="0BACE96A" w:rsidR="00080881" w:rsidRPr="008275B0" w:rsidRDefault="00080881" w:rsidP="007B2F9D">
            <w:pPr>
              <w:pStyle w:val="af7"/>
              <w:jc w:val="center"/>
            </w:pPr>
            <w:r w:rsidRPr="008275B0">
              <w:t>5,8</w:t>
            </w:r>
          </w:p>
        </w:tc>
        <w:tc>
          <w:tcPr>
            <w:tcW w:w="850" w:type="dxa"/>
            <w:vAlign w:val="center"/>
          </w:tcPr>
          <w:p w14:paraId="3F0A2FFA" w14:textId="5B809DF8" w:rsidR="00080881" w:rsidRPr="008275B0" w:rsidRDefault="00080881" w:rsidP="007B2F9D">
            <w:pPr>
              <w:pStyle w:val="af7"/>
              <w:jc w:val="center"/>
            </w:pPr>
            <w:r w:rsidRPr="008275B0">
              <w:t>6,0</w:t>
            </w:r>
          </w:p>
        </w:tc>
        <w:tc>
          <w:tcPr>
            <w:tcW w:w="851" w:type="dxa"/>
            <w:vAlign w:val="center"/>
          </w:tcPr>
          <w:p w14:paraId="32764006" w14:textId="5BCF7F0F" w:rsidR="00080881" w:rsidRPr="008275B0" w:rsidRDefault="00080881" w:rsidP="007B2F9D">
            <w:pPr>
              <w:pStyle w:val="af7"/>
              <w:jc w:val="center"/>
              <w:rPr>
                <w:bCs/>
              </w:rPr>
            </w:pPr>
            <w:r w:rsidRPr="008275B0">
              <w:t>6,1</w:t>
            </w:r>
          </w:p>
        </w:tc>
        <w:tc>
          <w:tcPr>
            <w:tcW w:w="850" w:type="dxa"/>
            <w:vAlign w:val="center"/>
          </w:tcPr>
          <w:p w14:paraId="7D82F53A" w14:textId="38059161" w:rsidR="00080881" w:rsidRPr="008275B0" w:rsidRDefault="00080881" w:rsidP="007B2F9D">
            <w:pPr>
              <w:pStyle w:val="af7"/>
              <w:jc w:val="center"/>
              <w:rPr>
                <w:bCs/>
              </w:rPr>
            </w:pPr>
            <w:r w:rsidRPr="008275B0">
              <w:t>6,2</w:t>
            </w:r>
          </w:p>
        </w:tc>
        <w:tc>
          <w:tcPr>
            <w:tcW w:w="843" w:type="dxa"/>
            <w:vAlign w:val="center"/>
          </w:tcPr>
          <w:p w14:paraId="2406A41D" w14:textId="4ACD7033" w:rsidR="00080881" w:rsidRPr="008275B0" w:rsidRDefault="00080881" w:rsidP="007B2F9D">
            <w:pPr>
              <w:pStyle w:val="af7"/>
              <w:jc w:val="center"/>
              <w:rPr>
                <w:bCs/>
              </w:rPr>
            </w:pPr>
            <w:r w:rsidRPr="008275B0">
              <w:t>6,3</w:t>
            </w:r>
          </w:p>
        </w:tc>
        <w:tc>
          <w:tcPr>
            <w:tcW w:w="717" w:type="dxa"/>
            <w:vAlign w:val="center"/>
          </w:tcPr>
          <w:p w14:paraId="2DD2B1B2" w14:textId="714F3410" w:rsidR="00080881" w:rsidRPr="008275B0" w:rsidRDefault="00080881" w:rsidP="007B2F9D">
            <w:pPr>
              <w:pStyle w:val="af7"/>
              <w:jc w:val="center"/>
              <w:rPr>
                <w:bCs/>
              </w:rPr>
            </w:pPr>
            <w:r w:rsidRPr="008275B0">
              <w:t>6,4</w:t>
            </w:r>
          </w:p>
        </w:tc>
        <w:tc>
          <w:tcPr>
            <w:tcW w:w="759" w:type="dxa"/>
            <w:vAlign w:val="center"/>
          </w:tcPr>
          <w:p w14:paraId="06F7C63F" w14:textId="6CBF9C02" w:rsidR="00080881" w:rsidRPr="008275B0" w:rsidRDefault="00080881" w:rsidP="007B2F9D">
            <w:pPr>
              <w:pStyle w:val="af7"/>
              <w:jc w:val="center"/>
              <w:rPr>
                <w:bCs/>
              </w:rPr>
            </w:pPr>
            <w:r w:rsidRPr="008275B0">
              <w:t>5,6</w:t>
            </w:r>
          </w:p>
        </w:tc>
        <w:tc>
          <w:tcPr>
            <w:tcW w:w="792" w:type="dxa"/>
            <w:vAlign w:val="center"/>
          </w:tcPr>
          <w:p w14:paraId="6A7D046C" w14:textId="2543B047" w:rsidR="00080881" w:rsidRPr="008275B0" w:rsidRDefault="00080881" w:rsidP="007B2F9D">
            <w:pPr>
              <w:pStyle w:val="af7"/>
              <w:jc w:val="center"/>
              <w:rPr>
                <w:bCs/>
              </w:rPr>
            </w:pPr>
            <w:r w:rsidRPr="008275B0">
              <w:t>5,7</w:t>
            </w:r>
          </w:p>
        </w:tc>
        <w:tc>
          <w:tcPr>
            <w:tcW w:w="717" w:type="dxa"/>
            <w:vAlign w:val="center"/>
          </w:tcPr>
          <w:p w14:paraId="591FA383" w14:textId="32FB6FEC" w:rsidR="00080881" w:rsidRPr="008275B0" w:rsidRDefault="00080881" w:rsidP="007B2F9D">
            <w:pPr>
              <w:pStyle w:val="af7"/>
              <w:jc w:val="center"/>
              <w:rPr>
                <w:bCs/>
              </w:rPr>
            </w:pPr>
            <w:r w:rsidRPr="008275B0">
              <w:t>7,1</w:t>
            </w:r>
          </w:p>
        </w:tc>
        <w:tc>
          <w:tcPr>
            <w:tcW w:w="1842" w:type="dxa"/>
            <w:vMerge/>
            <w:vAlign w:val="center"/>
          </w:tcPr>
          <w:p w14:paraId="2DD0B13B" w14:textId="4194FE10" w:rsidR="00080881" w:rsidRPr="008275B0" w:rsidRDefault="00080881" w:rsidP="007B2F9D">
            <w:pPr>
              <w:pStyle w:val="af7"/>
            </w:pPr>
          </w:p>
        </w:tc>
      </w:tr>
      <w:tr w:rsidR="002F4AD5" w:rsidRPr="008275B0" w14:paraId="7EBC2753" w14:textId="77777777" w:rsidTr="002F4AD5">
        <w:trPr>
          <w:trHeight w:val="617"/>
        </w:trPr>
        <w:tc>
          <w:tcPr>
            <w:tcW w:w="706" w:type="dxa"/>
            <w:vAlign w:val="center"/>
          </w:tcPr>
          <w:p w14:paraId="674857AE" w14:textId="09AB3863" w:rsidR="00080881" w:rsidRPr="008275B0" w:rsidRDefault="007B2F9D" w:rsidP="007B2F9D">
            <w:pPr>
              <w:pStyle w:val="af7"/>
            </w:pPr>
            <w:r>
              <w:lastRenderedPageBreak/>
              <w:t>2.8.</w:t>
            </w:r>
          </w:p>
        </w:tc>
        <w:tc>
          <w:tcPr>
            <w:tcW w:w="2418" w:type="dxa"/>
            <w:vAlign w:val="center"/>
          </w:tcPr>
          <w:p w14:paraId="5D58905E" w14:textId="688BDA2B" w:rsidR="00080881" w:rsidRPr="008275B0" w:rsidRDefault="00080881" w:rsidP="007B2F9D">
            <w:pPr>
              <w:pStyle w:val="af7"/>
              <w:rPr>
                <w:b/>
                <w:bCs/>
              </w:rPr>
            </w:pPr>
            <w:r w:rsidRPr="008275B0">
              <w:t>Оборот розничной торговли</w:t>
            </w:r>
          </w:p>
        </w:tc>
        <w:tc>
          <w:tcPr>
            <w:tcW w:w="850" w:type="dxa"/>
            <w:vAlign w:val="center"/>
          </w:tcPr>
          <w:p w14:paraId="29A73E0A" w14:textId="4869E21F" w:rsidR="00080881" w:rsidRPr="008275B0" w:rsidRDefault="00080881" w:rsidP="007B2F9D">
            <w:pPr>
              <w:pStyle w:val="af7"/>
              <w:jc w:val="center"/>
            </w:pPr>
            <w:r w:rsidRPr="008275B0">
              <w:t>млн. руб.</w:t>
            </w:r>
          </w:p>
        </w:tc>
        <w:tc>
          <w:tcPr>
            <w:tcW w:w="851" w:type="dxa"/>
            <w:vAlign w:val="center"/>
          </w:tcPr>
          <w:p w14:paraId="1003E1F3" w14:textId="7249B0A2" w:rsidR="00080881" w:rsidRPr="008275B0" w:rsidRDefault="00080881" w:rsidP="007B2F9D">
            <w:pPr>
              <w:pStyle w:val="af7"/>
              <w:jc w:val="center"/>
              <w:rPr>
                <w:bCs/>
              </w:rPr>
            </w:pPr>
            <w:r w:rsidRPr="008275B0">
              <w:t>1508,4</w:t>
            </w:r>
          </w:p>
        </w:tc>
        <w:tc>
          <w:tcPr>
            <w:tcW w:w="850" w:type="dxa"/>
            <w:vAlign w:val="center"/>
          </w:tcPr>
          <w:p w14:paraId="7FFFD25C" w14:textId="70A76002" w:rsidR="00080881" w:rsidRPr="008275B0" w:rsidRDefault="00080881" w:rsidP="007B2F9D">
            <w:pPr>
              <w:pStyle w:val="af7"/>
              <w:jc w:val="center"/>
              <w:rPr>
                <w:bCs/>
              </w:rPr>
            </w:pPr>
            <w:r w:rsidRPr="008275B0">
              <w:t>1568,8</w:t>
            </w:r>
          </w:p>
        </w:tc>
        <w:tc>
          <w:tcPr>
            <w:tcW w:w="851" w:type="dxa"/>
            <w:vAlign w:val="center"/>
          </w:tcPr>
          <w:p w14:paraId="67E0DA40" w14:textId="0C69A5DE" w:rsidR="00080881" w:rsidRPr="008275B0" w:rsidRDefault="00080881" w:rsidP="007B2F9D">
            <w:pPr>
              <w:pStyle w:val="af7"/>
              <w:jc w:val="center"/>
            </w:pPr>
            <w:r w:rsidRPr="008275B0">
              <w:t>1631,5</w:t>
            </w:r>
          </w:p>
        </w:tc>
        <w:tc>
          <w:tcPr>
            <w:tcW w:w="850" w:type="dxa"/>
            <w:vAlign w:val="center"/>
          </w:tcPr>
          <w:p w14:paraId="0A0D4FEA" w14:textId="2438FABE" w:rsidR="00080881" w:rsidRPr="008275B0" w:rsidRDefault="00080881" w:rsidP="007B2F9D">
            <w:pPr>
              <w:pStyle w:val="af7"/>
              <w:jc w:val="center"/>
            </w:pPr>
            <w:r w:rsidRPr="008275B0">
              <w:t>1696,8</w:t>
            </w:r>
          </w:p>
        </w:tc>
        <w:tc>
          <w:tcPr>
            <w:tcW w:w="851" w:type="dxa"/>
            <w:vAlign w:val="center"/>
          </w:tcPr>
          <w:p w14:paraId="1435FE46" w14:textId="1E9792E8" w:rsidR="00080881" w:rsidRPr="008275B0" w:rsidRDefault="00080881" w:rsidP="007B2F9D">
            <w:pPr>
              <w:pStyle w:val="af7"/>
              <w:jc w:val="center"/>
              <w:rPr>
                <w:bCs/>
              </w:rPr>
            </w:pPr>
            <w:r w:rsidRPr="008275B0">
              <w:t>1764,6</w:t>
            </w:r>
          </w:p>
        </w:tc>
        <w:tc>
          <w:tcPr>
            <w:tcW w:w="850" w:type="dxa"/>
            <w:vAlign w:val="center"/>
          </w:tcPr>
          <w:p w14:paraId="766877CD" w14:textId="60C3E250" w:rsidR="00080881" w:rsidRPr="008275B0" w:rsidRDefault="00080881" w:rsidP="007B2F9D">
            <w:pPr>
              <w:pStyle w:val="af7"/>
              <w:jc w:val="center"/>
              <w:rPr>
                <w:bCs/>
              </w:rPr>
            </w:pPr>
            <w:r w:rsidRPr="008275B0">
              <w:t>1835,2</w:t>
            </w:r>
          </w:p>
        </w:tc>
        <w:tc>
          <w:tcPr>
            <w:tcW w:w="843" w:type="dxa"/>
            <w:vAlign w:val="center"/>
          </w:tcPr>
          <w:p w14:paraId="20C8F267" w14:textId="585D8290" w:rsidR="00080881" w:rsidRPr="008275B0" w:rsidRDefault="00080881" w:rsidP="007B2F9D">
            <w:pPr>
              <w:pStyle w:val="af7"/>
              <w:jc w:val="center"/>
              <w:rPr>
                <w:bCs/>
              </w:rPr>
            </w:pPr>
            <w:r w:rsidRPr="008275B0">
              <w:t>1908,6</w:t>
            </w:r>
          </w:p>
        </w:tc>
        <w:tc>
          <w:tcPr>
            <w:tcW w:w="717" w:type="dxa"/>
            <w:vAlign w:val="center"/>
          </w:tcPr>
          <w:p w14:paraId="580827DE" w14:textId="7DF13372" w:rsidR="00080881" w:rsidRPr="008275B0" w:rsidRDefault="00080881" w:rsidP="007B2F9D">
            <w:pPr>
              <w:pStyle w:val="af7"/>
              <w:jc w:val="center"/>
              <w:rPr>
                <w:bCs/>
              </w:rPr>
            </w:pPr>
            <w:r w:rsidRPr="008275B0">
              <w:t>1985,0</w:t>
            </w:r>
          </w:p>
        </w:tc>
        <w:tc>
          <w:tcPr>
            <w:tcW w:w="759" w:type="dxa"/>
            <w:vAlign w:val="center"/>
          </w:tcPr>
          <w:p w14:paraId="4BEE504E" w14:textId="74B09250" w:rsidR="00080881" w:rsidRPr="008275B0" w:rsidRDefault="00080881" w:rsidP="007B2F9D">
            <w:pPr>
              <w:pStyle w:val="af7"/>
              <w:jc w:val="center"/>
              <w:rPr>
                <w:bCs/>
              </w:rPr>
            </w:pPr>
            <w:r w:rsidRPr="008275B0">
              <w:t>1508,4</w:t>
            </w:r>
          </w:p>
        </w:tc>
        <w:tc>
          <w:tcPr>
            <w:tcW w:w="792" w:type="dxa"/>
            <w:vAlign w:val="center"/>
          </w:tcPr>
          <w:p w14:paraId="108BA651" w14:textId="1008FA2E" w:rsidR="00080881" w:rsidRPr="008275B0" w:rsidRDefault="00080881" w:rsidP="007B2F9D">
            <w:pPr>
              <w:pStyle w:val="af7"/>
              <w:jc w:val="center"/>
              <w:rPr>
                <w:bCs/>
              </w:rPr>
            </w:pPr>
            <w:r w:rsidRPr="008275B0">
              <w:t>1568,8</w:t>
            </w:r>
          </w:p>
        </w:tc>
        <w:tc>
          <w:tcPr>
            <w:tcW w:w="717" w:type="dxa"/>
            <w:vAlign w:val="center"/>
          </w:tcPr>
          <w:p w14:paraId="58782D11" w14:textId="1DF45227" w:rsidR="00080881" w:rsidRPr="008275B0" w:rsidRDefault="00080881" w:rsidP="007B2F9D">
            <w:pPr>
              <w:pStyle w:val="af7"/>
              <w:jc w:val="center"/>
              <w:rPr>
                <w:bCs/>
              </w:rPr>
            </w:pPr>
            <w:r w:rsidRPr="008275B0">
              <w:t>2415,0</w:t>
            </w:r>
          </w:p>
        </w:tc>
        <w:tc>
          <w:tcPr>
            <w:tcW w:w="1842" w:type="dxa"/>
            <w:vMerge/>
            <w:vAlign w:val="center"/>
          </w:tcPr>
          <w:p w14:paraId="1565D57F" w14:textId="0BE37CBD" w:rsidR="00080881" w:rsidRPr="008275B0" w:rsidRDefault="00080881" w:rsidP="007B2F9D">
            <w:pPr>
              <w:pStyle w:val="af7"/>
            </w:pPr>
          </w:p>
        </w:tc>
      </w:tr>
      <w:tr w:rsidR="002F4AD5" w:rsidRPr="008275B0" w14:paraId="7EB11FCE" w14:textId="77777777" w:rsidTr="002F4AD5">
        <w:trPr>
          <w:trHeight w:val="617"/>
        </w:trPr>
        <w:tc>
          <w:tcPr>
            <w:tcW w:w="706" w:type="dxa"/>
            <w:vAlign w:val="center"/>
          </w:tcPr>
          <w:p w14:paraId="6E032B55" w14:textId="7657613B" w:rsidR="00080881" w:rsidRPr="008275B0" w:rsidRDefault="007B2F9D" w:rsidP="007B2F9D">
            <w:pPr>
              <w:pStyle w:val="af7"/>
            </w:pPr>
            <w:r>
              <w:t>2.9.</w:t>
            </w:r>
          </w:p>
        </w:tc>
        <w:tc>
          <w:tcPr>
            <w:tcW w:w="2418" w:type="dxa"/>
            <w:vAlign w:val="center"/>
          </w:tcPr>
          <w:p w14:paraId="0AA254E4" w14:textId="6C1E15D3" w:rsidR="00080881" w:rsidRPr="008275B0" w:rsidRDefault="00080881" w:rsidP="007B2F9D">
            <w:pPr>
              <w:pStyle w:val="af7"/>
            </w:pPr>
            <w:r w:rsidRPr="008275B0">
              <w:t>Среднегодовая численность занятых в экономике</w:t>
            </w:r>
          </w:p>
        </w:tc>
        <w:tc>
          <w:tcPr>
            <w:tcW w:w="850" w:type="dxa"/>
            <w:vAlign w:val="center"/>
          </w:tcPr>
          <w:p w14:paraId="109F6FCB" w14:textId="28ACCC43" w:rsidR="00080881" w:rsidRPr="008275B0" w:rsidRDefault="00080881" w:rsidP="007B2F9D">
            <w:pPr>
              <w:pStyle w:val="af7"/>
              <w:jc w:val="center"/>
            </w:pPr>
            <w:r w:rsidRPr="008275B0">
              <w:t>тыс. чел.</w:t>
            </w:r>
          </w:p>
        </w:tc>
        <w:tc>
          <w:tcPr>
            <w:tcW w:w="851" w:type="dxa"/>
            <w:vAlign w:val="center"/>
          </w:tcPr>
          <w:p w14:paraId="4F9084BA" w14:textId="042E3C19" w:rsidR="00080881" w:rsidRPr="008275B0" w:rsidRDefault="00080881" w:rsidP="007B2F9D">
            <w:pPr>
              <w:pStyle w:val="af7"/>
              <w:jc w:val="center"/>
            </w:pPr>
            <w:r w:rsidRPr="008275B0">
              <w:t>31,9</w:t>
            </w:r>
          </w:p>
        </w:tc>
        <w:tc>
          <w:tcPr>
            <w:tcW w:w="850" w:type="dxa"/>
            <w:vAlign w:val="center"/>
          </w:tcPr>
          <w:p w14:paraId="7640C66F" w14:textId="0DDD79EE" w:rsidR="00080881" w:rsidRPr="008275B0" w:rsidRDefault="00080881" w:rsidP="007B2F9D">
            <w:pPr>
              <w:pStyle w:val="af7"/>
              <w:jc w:val="center"/>
            </w:pPr>
            <w:r w:rsidRPr="008275B0">
              <w:t>32,6</w:t>
            </w:r>
          </w:p>
        </w:tc>
        <w:tc>
          <w:tcPr>
            <w:tcW w:w="851" w:type="dxa"/>
            <w:vAlign w:val="center"/>
          </w:tcPr>
          <w:p w14:paraId="37E9D21D" w14:textId="049B4D65" w:rsidR="00080881" w:rsidRPr="008275B0" w:rsidRDefault="00080881" w:rsidP="007B2F9D">
            <w:pPr>
              <w:pStyle w:val="af7"/>
              <w:jc w:val="center"/>
            </w:pPr>
            <w:r w:rsidRPr="008275B0">
              <w:t>33,2</w:t>
            </w:r>
          </w:p>
        </w:tc>
        <w:tc>
          <w:tcPr>
            <w:tcW w:w="850" w:type="dxa"/>
            <w:vAlign w:val="center"/>
          </w:tcPr>
          <w:p w14:paraId="28C5E5AB" w14:textId="54F4DC6E" w:rsidR="00080881" w:rsidRPr="008275B0" w:rsidRDefault="00080881" w:rsidP="007B2F9D">
            <w:pPr>
              <w:pStyle w:val="af7"/>
              <w:jc w:val="center"/>
            </w:pPr>
            <w:r w:rsidRPr="008275B0">
              <w:t>33,9</w:t>
            </w:r>
          </w:p>
        </w:tc>
        <w:tc>
          <w:tcPr>
            <w:tcW w:w="851" w:type="dxa"/>
            <w:vAlign w:val="center"/>
          </w:tcPr>
          <w:p w14:paraId="2E097B9F" w14:textId="6DC22B48" w:rsidR="00080881" w:rsidRPr="008275B0" w:rsidRDefault="00080881" w:rsidP="007B2F9D">
            <w:pPr>
              <w:pStyle w:val="af7"/>
              <w:jc w:val="center"/>
            </w:pPr>
            <w:r w:rsidRPr="008275B0">
              <w:t>34,6</w:t>
            </w:r>
          </w:p>
        </w:tc>
        <w:tc>
          <w:tcPr>
            <w:tcW w:w="850" w:type="dxa"/>
            <w:vAlign w:val="center"/>
          </w:tcPr>
          <w:p w14:paraId="3CD860CC" w14:textId="13A0A632" w:rsidR="00080881" w:rsidRPr="008275B0" w:rsidRDefault="00080881" w:rsidP="007B2F9D">
            <w:pPr>
              <w:pStyle w:val="af7"/>
              <w:jc w:val="center"/>
            </w:pPr>
            <w:r w:rsidRPr="008275B0">
              <w:t>35,2</w:t>
            </w:r>
          </w:p>
        </w:tc>
        <w:tc>
          <w:tcPr>
            <w:tcW w:w="843" w:type="dxa"/>
            <w:vAlign w:val="center"/>
          </w:tcPr>
          <w:p w14:paraId="54064A60" w14:textId="4D0478AD" w:rsidR="00080881" w:rsidRPr="008275B0" w:rsidRDefault="00080881" w:rsidP="007B2F9D">
            <w:pPr>
              <w:pStyle w:val="af7"/>
              <w:jc w:val="center"/>
            </w:pPr>
            <w:r w:rsidRPr="008275B0">
              <w:t>36,0</w:t>
            </w:r>
          </w:p>
        </w:tc>
        <w:tc>
          <w:tcPr>
            <w:tcW w:w="717" w:type="dxa"/>
            <w:vAlign w:val="center"/>
          </w:tcPr>
          <w:p w14:paraId="10601DAB" w14:textId="049C100E" w:rsidR="00080881" w:rsidRPr="008275B0" w:rsidRDefault="00080881" w:rsidP="007B2F9D">
            <w:pPr>
              <w:pStyle w:val="af7"/>
              <w:jc w:val="center"/>
            </w:pPr>
            <w:r w:rsidRPr="008275B0">
              <w:t>36,7</w:t>
            </w:r>
          </w:p>
        </w:tc>
        <w:tc>
          <w:tcPr>
            <w:tcW w:w="759" w:type="dxa"/>
            <w:vAlign w:val="center"/>
          </w:tcPr>
          <w:p w14:paraId="525EE5F6" w14:textId="69CF5EB6" w:rsidR="00080881" w:rsidRPr="008275B0" w:rsidRDefault="00080881" w:rsidP="007B2F9D">
            <w:pPr>
              <w:pStyle w:val="af7"/>
              <w:jc w:val="center"/>
            </w:pPr>
            <w:r w:rsidRPr="008275B0">
              <w:t>31,9</w:t>
            </w:r>
          </w:p>
        </w:tc>
        <w:tc>
          <w:tcPr>
            <w:tcW w:w="792" w:type="dxa"/>
            <w:vAlign w:val="center"/>
          </w:tcPr>
          <w:p w14:paraId="1DA8FB17" w14:textId="413E587F" w:rsidR="00080881" w:rsidRPr="008275B0" w:rsidRDefault="00080881" w:rsidP="007B2F9D">
            <w:pPr>
              <w:pStyle w:val="af7"/>
              <w:jc w:val="center"/>
            </w:pPr>
            <w:r w:rsidRPr="008275B0">
              <w:t>32,6</w:t>
            </w:r>
          </w:p>
        </w:tc>
        <w:tc>
          <w:tcPr>
            <w:tcW w:w="717" w:type="dxa"/>
            <w:vAlign w:val="center"/>
          </w:tcPr>
          <w:p w14:paraId="76B56A55" w14:textId="48354655" w:rsidR="00080881" w:rsidRPr="008275B0" w:rsidRDefault="00080881" w:rsidP="007B2F9D">
            <w:pPr>
              <w:pStyle w:val="af7"/>
              <w:jc w:val="center"/>
            </w:pPr>
            <w:r w:rsidRPr="008275B0">
              <w:t>40,5</w:t>
            </w:r>
          </w:p>
        </w:tc>
        <w:tc>
          <w:tcPr>
            <w:tcW w:w="1842" w:type="dxa"/>
            <w:vMerge/>
            <w:vAlign w:val="center"/>
          </w:tcPr>
          <w:p w14:paraId="28BD3BF0" w14:textId="5D028F01" w:rsidR="00080881" w:rsidRPr="008275B0" w:rsidRDefault="00080881" w:rsidP="007B2F9D">
            <w:pPr>
              <w:pStyle w:val="af7"/>
            </w:pPr>
          </w:p>
        </w:tc>
      </w:tr>
      <w:tr w:rsidR="002F4AD5" w:rsidRPr="008275B0" w14:paraId="2371F4BD" w14:textId="77777777" w:rsidTr="002F4AD5">
        <w:trPr>
          <w:trHeight w:val="617"/>
        </w:trPr>
        <w:tc>
          <w:tcPr>
            <w:tcW w:w="706" w:type="dxa"/>
            <w:vAlign w:val="center"/>
          </w:tcPr>
          <w:p w14:paraId="6101E57D" w14:textId="1EE5FC5B" w:rsidR="00080881" w:rsidRPr="008275B0" w:rsidRDefault="007B2F9D" w:rsidP="007B2F9D">
            <w:pPr>
              <w:pStyle w:val="af7"/>
            </w:pPr>
            <w:r>
              <w:t>2.10.</w:t>
            </w:r>
          </w:p>
        </w:tc>
        <w:tc>
          <w:tcPr>
            <w:tcW w:w="2418" w:type="dxa"/>
            <w:vAlign w:val="center"/>
          </w:tcPr>
          <w:p w14:paraId="20CDE19A" w14:textId="0DAD2016" w:rsidR="00080881" w:rsidRPr="008275B0" w:rsidRDefault="00080881" w:rsidP="007B2F9D">
            <w:pPr>
              <w:pStyle w:val="af7"/>
              <w:rPr>
                <w:b/>
                <w:bCs/>
              </w:rPr>
            </w:pPr>
            <w:r w:rsidRPr="008275B0">
              <w:t>Уровень зарегестрированной безработицы (на конец года)</w:t>
            </w:r>
          </w:p>
        </w:tc>
        <w:tc>
          <w:tcPr>
            <w:tcW w:w="850" w:type="dxa"/>
            <w:vAlign w:val="center"/>
          </w:tcPr>
          <w:p w14:paraId="155487B9" w14:textId="45B4A131" w:rsidR="00080881" w:rsidRPr="008275B0" w:rsidRDefault="00080881" w:rsidP="007B2F9D">
            <w:pPr>
              <w:pStyle w:val="af7"/>
              <w:jc w:val="center"/>
            </w:pPr>
            <w:r w:rsidRPr="008275B0">
              <w:t>%</w:t>
            </w:r>
          </w:p>
        </w:tc>
        <w:tc>
          <w:tcPr>
            <w:tcW w:w="851" w:type="dxa"/>
            <w:vAlign w:val="center"/>
          </w:tcPr>
          <w:p w14:paraId="66E76F37" w14:textId="4559F941" w:rsidR="00080881" w:rsidRPr="008275B0" w:rsidRDefault="00080881" w:rsidP="007B2F9D">
            <w:pPr>
              <w:pStyle w:val="af7"/>
              <w:jc w:val="center"/>
              <w:rPr>
                <w:bCs/>
              </w:rPr>
            </w:pPr>
            <w:r w:rsidRPr="008275B0">
              <w:t>0,07</w:t>
            </w:r>
          </w:p>
        </w:tc>
        <w:tc>
          <w:tcPr>
            <w:tcW w:w="850" w:type="dxa"/>
            <w:vAlign w:val="center"/>
          </w:tcPr>
          <w:p w14:paraId="57A274DC" w14:textId="27BBFB72" w:rsidR="00080881" w:rsidRPr="008275B0" w:rsidRDefault="00080881" w:rsidP="007B2F9D">
            <w:pPr>
              <w:pStyle w:val="af7"/>
              <w:jc w:val="center"/>
              <w:rPr>
                <w:bCs/>
              </w:rPr>
            </w:pPr>
            <w:r w:rsidRPr="008275B0">
              <w:t>0,08</w:t>
            </w:r>
          </w:p>
        </w:tc>
        <w:tc>
          <w:tcPr>
            <w:tcW w:w="851" w:type="dxa"/>
            <w:vAlign w:val="center"/>
          </w:tcPr>
          <w:p w14:paraId="2ED9E96A" w14:textId="17735DAC" w:rsidR="00080881" w:rsidRPr="008275B0" w:rsidRDefault="00080881" w:rsidP="007B2F9D">
            <w:pPr>
              <w:pStyle w:val="af7"/>
              <w:jc w:val="center"/>
            </w:pPr>
            <w:r w:rsidRPr="008275B0">
              <w:t>0,08</w:t>
            </w:r>
          </w:p>
        </w:tc>
        <w:tc>
          <w:tcPr>
            <w:tcW w:w="850" w:type="dxa"/>
            <w:vAlign w:val="center"/>
          </w:tcPr>
          <w:p w14:paraId="2546000B" w14:textId="3FDD3B05" w:rsidR="00080881" w:rsidRPr="008275B0" w:rsidRDefault="00080881" w:rsidP="007B2F9D">
            <w:pPr>
              <w:pStyle w:val="af7"/>
              <w:jc w:val="center"/>
            </w:pPr>
            <w:r w:rsidRPr="008275B0">
              <w:t>0,08</w:t>
            </w:r>
          </w:p>
        </w:tc>
        <w:tc>
          <w:tcPr>
            <w:tcW w:w="851" w:type="dxa"/>
            <w:vAlign w:val="center"/>
          </w:tcPr>
          <w:p w14:paraId="0E69FAA2" w14:textId="2771FBE0" w:rsidR="00080881" w:rsidRPr="008275B0" w:rsidRDefault="00080881" w:rsidP="007B2F9D">
            <w:pPr>
              <w:pStyle w:val="af7"/>
              <w:jc w:val="center"/>
              <w:rPr>
                <w:bCs/>
              </w:rPr>
            </w:pPr>
            <w:r w:rsidRPr="008275B0">
              <w:t>0,08</w:t>
            </w:r>
          </w:p>
        </w:tc>
        <w:tc>
          <w:tcPr>
            <w:tcW w:w="850" w:type="dxa"/>
            <w:vAlign w:val="center"/>
          </w:tcPr>
          <w:p w14:paraId="12C0E31C" w14:textId="0D505037" w:rsidR="00080881" w:rsidRPr="008275B0" w:rsidRDefault="00080881" w:rsidP="007B2F9D">
            <w:pPr>
              <w:pStyle w:val="af7"/>
              <w:jc w:val="center"/>
              <w:rPr>
                <w:bCs/>
              </w:rPr>
            </w:pPr>
            <w:r w:rsidRPr="008275B0">
              <w:t>0,07</w:t>
            </w:r>
          </w:p>
        </w:tc>
        <w:tc>
          <w:tcPr>
            <w:tcW w:w="843" w:type="dxa"/>
            <w:vAlign w:val="center"/>
          </w:tcPr>
          <w:p w14:paraId="0CD55CE0" w14:textId="7C70B93E" w:rsidR="00080881" w:rsidRPr="008275B0" w:rsidRDefault="00080881" w:rsidP="007B2F9D">
            <w:pPr>
              <w:pStyle w:val="af7"/>
              <w:jc w:val="center"/>
              <w:rPr>
                <w:bCs/>
              </w:rPr>
            </w:pPr>
            <w:r w:rsidRPr="008275B0">
              <w:t>0,07</w:t>
            </w:r>
          </w:p>
        </w:tc>
        <w:tc>
          <w:tcPr>
            <w:tcW w:w="717" w:type="dxa"/>
            <w:vAlign w:val="center"/>
          </w:tcPr>
          <w:p w14:paraId="7058BD96" w14:textId="33A4A7B8" w:rsidR="00080881" w:rsidRPr="008275B0" w:rsidRDefault="00080881" w:rsidP="007B2F9D">
            <w:pPr>
              <w:pStyle w:val="af7"/>
              <w:jc w:val="center"/>
              <w:rPr>
                <w:bCs/>
              </w:rPr>
            </w:pPr>
            <w:r w:rsidRPr="008275B0">
              <w:t>0,07</w:t>
            </w:r>
          </w:p>
        </w:tc>
        <w:tc>
          <w:tcPr>
            <w:tcW w:w="759" w:type="dxa"/>
            <w:vAlign w:val="center"/>
          </w:tcPr>
          <w:p w14:paraId="176E16E2" w14:textId="295175B6" w:rsidR="00080881" w:rsidRPr="008275B0" w:rsidRDefault="00080881" w:rsidP="007B2F9D">
            <w:pPr>
              <w:pStyle w:val="af7"/>
              <w:jc w:val="center"/>
              <w:rPr>
                <w:bCs/>
              </w:rPr>
            </w:pPr>
            <w:r w:rsidRPr="008275B0">
              <w:t>0,07</w:t>
            </w:r>
          </w:p>
        </w:tc>
        <w:tc>
          <w:tcPr>
            <w:tcW w:w="792" w:type="dxa"/>
            <w:vAlign w:val="center"/>
          </w:tcPr>
          <w:p w14:paraId="7570AB73" w14:textId="49536F9A" w:rsidR="00080881" w:rsidRPr="008275B0" w:rsidRDefault="00080881" w:rsidP="007B2F9D">
            <w:pPr>
              <w:pStyle w:val="af7"/>
              <w:jc w:val="center"/>
              <w:rPr>
                <w:bCs/>
              </w:rPr>
            </w:pPr>
            <w:r w:rsidRPr="008275B0">
              <w:t>0,07</w:t>
            </w:r>
          </w:p>
        </w:tc>
        <w:tc>
          <w:tcPr>
            <w:tcW w:w="717" w:type="dxa"/>
            <w:vAlign w:val="center"/>
          </w:tcPr>
          <w:p w14:paraId="7E6E4253" w14:textId="4AB57B5A" w:rsidR="00080881" w:rsidRPr="008275B0" w:rsidRDefault="00080881" w:rsidP="007B2F9D">
            <w:pPr>
              <w:pStyle w:val="af7"/>
              <w:jc w:val="center"/>
              <w:rPr>
                <w:bCs/>
              </w:rPr>
            </w:pPr>
            <w:r w:rsidRPr="008275B0">
              <w:t>0,05</w:t>
            </w:r>
          </w:p>
        </w:tc>
        <w:tc>
          <w:tcPr>
            <w:tcW w:w="1842" w:type="dxa"/>
            <w:vMerge/>
            <w:vAlign w:val="center"/>
          </w:tcPr>
          <w:p w14:paraId="66F36B8D" w14:textId="463507BC" w:rsidR="00080881" w:rsidRPr="008275B0" w:rsidRDefault="00080881" w:rsidP="007B2F9D">
            <w:pPr>
              <w:pStyle w:val="af7"/>
            </w:pPr>
          </w:p>
        </w:tc>
      </w:tr>
      <w:tr w:rsidR="002F4AD5" w:rsidRPr="008275B0" w14:paraId="2024AA43" w14:textId="77777777" w:rsidTr="002F4AD5">
        <w:trPr>
          <w:trHeight w:val="617"/>
        </w:trPr>
        <w:tc>
          <w:tcPr>
            <w:tcW w:w="706" w:type="dxa"/>
            <w:vAlign w:val="center"/>
          </w:tcPr>
          <w:p w14:paraId="36A76B87" w14:textId="780EF9E9" w:rsidR="00080881" w:rsidRPr="008275B0" w:rsidRDefault="007B2F9D" w:rsidP="007B2F9D">
            <w:pPr>
              <w:pStyle w:val="af7"/>
            </w:pPr>
            <w:r>
              <w:t>2.11.</w:t>
            </w:r>
          </w:p>
        </w:tc>
        <w:tc>
          <w:tcPr>
            <w:tcW w:w="2418" w:type="dxa"/>
            <w:vAlign w:val="center"/>
          </w:tcPr>
          <w:p w14:paraId="4FD4F4C8" w14:textId="6E4B8625" w:rsidR="00080881" w:rsidRPr="008275B0" w:rsidRDefault="00080881" w:rsidP="007B2F9D">
            <w:pPr>
              <w:pStyle w:val="af7"/>
            </w:pPr>
            <w:r w:rsidRPr="008275B0">
              <w:t>Среднемесячная номинальная начисленная заработная плата</w:t>
            </w:r>
          </w:p>
        </w:tc>
        <w:tc>
          <w:tcPr>
            <w:tcW w:w="850" w:type="dxa"/>
            <w:vAlign w:val="center"/>
          </w:tcPr>
          <w:p w14:paraId="37BF7539" w14:textId="71C0600A" w:rsidR="00080881" w:rsidRPr="008275B0" w:rsidRDefault="00080881" w:rsidP="007B2F9D">
            <w:pPr>
              <w:pStyle w:val="af7"/>
              <w:jc w:val="center"/>
              <w:rPr>
                <w:bCs/>
              </w:rPr>
            </w:pPr>
            <w:r w:rsidRPr="008275B0">
              <w:t>руб.</w:t>
            </w:r>
          </w:p>
        </w:tc>
        <w:tc>
          <w:tcPr>
            <w:tcW w:w="851" w:type="dxa"/>
            <w:vAlign w:val="center"/>
          </w:tcPr>
          <w:p w14:paraId="4700DA02" w14:textId="3B6C3EBA" w:rsidR="00080881" w:rsidRPr="008275B0" w:rsidRDefault="00080881" w:rsidP="007B2F9D">
            <w:pPr>
              <w:pStyle w:val="af7"/>
              <w:jc w:val="center"/>
            </w:pPr>
            <w:r w:rsidRPr="008275B0">
              <w:t>75222,0</w:t>
            </w:r>
          </w:p>
        </w:tc>
        <w:tc>
          <w:tcPr>
            <w:tcW w:w="850" w:type="dxa"/>
            <w:vAlign w:val="center"/>
          </w:tcPr>
          <w:p w14:paraId="06B85174" w14:textId="55A80D44" w:rsidR="00080881" w:rsidRPr="008275B0" w:rsidRDefault="00080881" w:rsidP="007B2F9D">
            <w:pPr>
              <w:pStyle w:val="af7"/>
              <w:jc w:val="center"/>
            </w:pPr>
            <w:r w:rsidRPr="008275B0">
              <w:t>78230,8</w:t>
            </w:r>
          </w:p>
        </w:tc>
        <w:tc>
          <w:tcPr>
            <w:tcW w:w="851" w:type="dxa"/>
            <w:vAlign w:val="center"/>
          </w:tcPr>
          <w:p w14:paraId="392DA967" w14:textId="2B11DB5F" w:rsidR="00080881" w:rsidRPr="008275B0" w:rsidRDefault="00080881" w:rsidP="007B2F9D">
            <w:pPr>
              <w:pStyle w:val="af7"/>
              <w:jc w:val="center"/>
            </w:pPr>
            <w:r w:rsidRPr="008275B0">
              <w:t>81360,1</w:t>
            </w:r>
          </w:p>
        </w:tc>
        <w:tc>
          <w:tcPr>
            <w:tcW w:w="850" w:type="dxa"/>
            <w:vAlign w:val="center"/>
          </w:tcPr>
          <w:p w14:paraId="05166AE3" w14:textId="6719940A" w:rsidR="00080881" w:rsidRPr="008275B0" w:rsidRDefault="00080881" w:rsidP="007B2F9D">
            <w:pPr>
              <w:pStyle w:val="af7"/>
              <w:jc w:val="center"/>
            </w:pPr>
            <w:r w:rsidRPr="008275B0">
              <w:t>82987,3</w:t>
            </w:r>
          </w:p>
        </w:tc>
        <w:tc>
          <w:tcPr>
            <w:tcW w:w="851" w:type="dxa"/>
            <w:vAlign w:val="center"/>
          </w:tcPr>
          <w:p w14:paraId="681970A2" w14:textId="56A745CB" w:rsidR="00080881" w:rsidRPr="008275B0" w:rsidRDefault="00080881" w:rsidP="007B2F9D">
            <w:pPr>
              <w:pStyle w:val="af7"/>
              <w:jc w:val="center"/>
            </w:pPr>
            <w:r w:rsidRPr="008275B0">
              <w:t>84647,0</w:t>
            </w:r>
          </w:p>
        </w:tc>
        <w:tc>
          <w:tcPr>
            <w:tcW w:w="850" w:type="dxa"/>
            <w:vAlign w:val="center"/>
          </w:tcPr>
          <w:p w14:paraId="3302D81C" w14:textId="6AE92CEF" w:rsidR="00080881" w:rsidRPr="008275B0" w:rsidRDefault="00080881" w:rsidP="007B2F9D">
            <w:pPr>
              <w:pStyle w:val="af7"/>
              <w:jc w:val="center"/>
            </w:pPr>
            <w:r w:rsidRPr="008275B0">
              <w:t>86340,0</w:t>
            </w:r>
          </w:p>
        </w:tc>
        <w:tc>
          <w:tcPr>
            <w:tcW w:w="843" w:type="dxa"/>
            <w:vAlign w:val="center"/>
          </w:tcPr>
          <w:p w14:paraId="0F297B2C" w14:textId="23B5EA6F" w:rsidR="00080881" w:rsidRPr="008275B0" w:rsidRDefault="00080881" w:rsidP="007B2F9D">
            <w:pPr>
              <w:pStyle w:val="af7"/>
              <w:jc w:val="center"/>
            </w:pPr>
            <w:r w:rsidRPr="008275B0">
              <w:t>88066,7</w:t>
            </w:r>
          </w:p>
        </w:tc>
        <w:tc>
          <w:tcPr>
            <w:tcW w:w="717" w:type="dxa"/>
            <w:vAlign w:val="center"/>
          </w:tcPr>
          <w:p w14:paraId="45670806" w14:textId="3D6CC09E" w:rsidR="00080881" w:rsidRPr="008275B0" w:rsidRDefault="00080881" w:rsidP="007B2F9D">
            <w:pPr>
              <w:pStyle w:val="af7"/>
              <w:jc w:val="center"/>
            </w:pPr>
            <w:r w:rsidRPr="008275B0">
              <w:t>89828,1</w:t>
            </w:r>
          </w:p>
        </w:tc>
        <w:tc>
          <w:tcPr>
            <w:tcW w:w="759" w:type="dxa"/>
            <w:vAlign w:val="center"/>
          </w:tcPr>
          <w:p w14:paraId="1CAB9B22" w14:textId="28D811B4" w:rsidR="00080881" w:rsidRPr="008275B0" w:rsidRDefault="00080881" w:rsidP="007B2F9D">
            <w:pPr>
              <w:pStyle w:val="af7"/>
              <w:jc w:val="center"/>
            </w:pPr>
            <w:r w:rsidRPr="008275B0">
              <w:t>75222,0</w:t>
            </w:r>
          </w:p>
        </w:tc>
        <w:tc>
          <w:tcPr>
            <w:tcW w:w="792" w:type="dxa"/>
            <w:vAlign w:val="center"/>
          </w:tcPr>
          <w:p w14:paraId="7E6B2FBB" w14:textId="23BBEF84" w:rsidR="00080881" w:rsidRPr="008275B0" w:rsidRDefault="00080881" w:rsidP="007B2F9D">
            <w:pPr>
              <w:pStyle w:val="af7"/>
              <w:jc w:val="center"/>
            </w:pPr>
            <w:r w:rsidRPr="008275B0">
              <w:t>78230,8</w:t>
            </w:r>
          </w:p>
        </w:tc>
        <w:tc>
          <w:tcPr>
            <w:tcW w:w="717" w:type="dxa"/>
            <w:vAlign w:val="center"/>
          </w:tcPr>
          <w:p w14:paraId="7113049A" w14:textId="01538BD9" w:rsidR="00080881" w:rsidRPr="008275B0" w:rsidRDefault="00080881" w:rsidP="007B2F9D">
            <w:pPr>
              <w:pStyle w:val="af7"/>
              <w:jc w:val="center"/>
            </w:pPr>
            <w:r w:rsidRPr="008275B0">
              <w:t>99177,5</w:t>
            </w:r>
          </w:p>
        </w:tc>
        <w:tc>
          <w:tcPr>
            <w:tcW w:w="1842" w:type="dxa"/>
            <w:vMerge/>
            <w:vAlign w:val="center"/>
          </w:tcPr>
          <w:p w14:paraId="01A488E7" w14:textId="77777777" w:rsidR="00080881" w:rsidRPr="008275B0" w:rsidRDefault="00080881" w:rsidP="007B2F9D">
            <w:pPr>
              <w:pStyle w:val="af7"/>
            </w:pPr>
          </w:p>
        </w:tc>
      </w:tr>
      <w:tr w:rsidR="00834EE7" w:rsidRPr="008275B0" w14:paraId="35504E36" w14:textId="77777777" w:rsidTr="00391462">
        <w:trPr>
          <w:trHeight w:val="525"/>
        </w:trPr>
        <w:tc>
          <w:tcPr>
            <w:tcW w:w="706" w:type="dxa"/>
            <w:vAlign w:val="center"/>
          </w:tcPr>
          <w:p w14:paraId="4078E5AC" w14:textId="34CCEE86" w:rsidR="00834EE7" w:rsidRPr="008275B0" w:rsidRDefault="00391462" w:rsidP="007B2F9D">
            <w:pPr>
              <w:pStyle w:val="af7"/>
            </w:pPr>
            <w:r>
              <w:t>3.</w:t>
            </w:r>
          </w:p>
        </w:tc>
        <w:tc>
          <w:tcPr>
            <w:tcW w:w="14041" w:type="dxa"/>
            <w:gridSpan w:val="14"/>
            <w:vAlign w:val="center"/>
          </w:tcPr>
          <w:p w14:paraId="45C518AC" w14:textId="0E3FD279" w:rsidR="00834EE7" w:rsidRPr="00391462" w:rsidRDefault="00834EE7" w:rsidP="00391462">
            <w:pPr>
              <w:pStyle w:val="af7"/>
              <w:jc w:val="center"/>
              <w:rPr>
                <w:b/>
                <w:sz w:val="24"/>
              </w:rPr>
            </w:pPr>
            <w:r w:rsidRPr="00391462">
              <w:rPr>
                <w:b/>
                <w:sz w:val="24"/>
              </w:rPr>
              <w:t>Приоритет «Сбалансированное пространственное развитие»</w:t>
            </w:r>
          </w:p>
        </w:tc>
      </w:tr>
      <w:tr w:rsidR="002F4AD5" w:rsidRPr="008275B0" w14:paraId="0DACA995" w14:textId="77777777" w:rsidTr="002F4AD5">
        <w:trPr>
          <w:trHeight w:val="617"/>
        </w:trPr>
        <w:tc>
          <w:tcPr>
            <w:tcW w:w="706" w:type="dxa"/>
            <w:vAlign w:val="center"/>
          </w:tcPr>
          <w:p w14:paraId="0C6F06F9" w14:textId="38275B38" w:rsidR="00080881" w:rsidRPr="008275B0" w:rsidRDefault="00080881" w:rsidP="007B2F9D">
            <w:pPr>
              <w:pStyle w:val="af7"/>
            </w:pPr>
            <w:r w:rsidRPr="008275B0">
              <w:t>3.1.</w:t>
            </w:r>
          </w:p>
        </w:tc>
        <w:tc>
          <w:tcPr>
            <w:tcW w:w="2418" w:type="dxa"/>
            <w:vAlign w:val="center"/>
          </w:tcPr>
          <w:p w14:paraId="1A6B3D79" w14:textId="58E35174" w:rsidR="00080881" w:rsidRPr="008275B0" w:rsidRDefault="00080881" w:rsidP="007B2F9D">
            <w:pPr>
              <w:pStyle w:val="af7"/>
              <w:rPr>
                <w:bCs/>
              </w:rPr>
            </w:pPr>
            <w:r w:rsidRPr="008275B0">
              <w:t xml:space="preserve">Обеспеченность жильем в среднем на одного жителя </w:t>
            </w:r>
          </w:p>
        </w:tc>
        <w:tc>
          <w:tcPr>
            <w:tcW w:w="850" w:type="dxa"/>
            <w:vAlign w:val="center"/>
          </w:tcPr>
          <w:p w14:paraId="1F221B95" w14:textId="23B8AE60" w:rsidR="00080881" w:rsidRPr="008275B0" w:rsidRDefault="00080881" w:rsidP="00391462">
            <w:pPr>
              <w:pStyle w:val="af7"/>
              <w:jc w:val="center"/>
              <w:rPr>
                <w:bCs/>
              </w:rPr>
            </w:pPr>
            <w:r w:rsidRPr="008275B0">
              <w:t>кв.м общей площади</w:t>
            </w:r>
          </w:p>
        </w:tc>
        <w:tc>
          <w:tcPr>
            <w:tcW w:w="851" w:type="dxa"/>
            <w:vAlign w:val="center"/>
          </w:tcPr>
          <w:p w14:paraId="7A88E7AF" w14:textId="7F066D8A" w:rsidR="00080881" w:rsidRPr="008275B0" w:rsidRDefault="00080881" w:rsidP="00391462">
            <w:pPr>
              <w:pStyle w:val="af7"/>
              <w:jc w:val="center"/>
              <w:rPr>
                <w:rFonts w:eastAsia="Times New Roman"/>
                <w:bCs/>
                <w:color w:val="000000"/>
              </w:rPr>
            </w:pPr>
            <w:r w:rsidRPr="008275B0">
              <w:t>14,9</w:t>
            </w:r>
          </w:p>
        </w:tc>
        <w:tc>
          <w:tcPr>
            <w:tcW w:w="850" w:type="dxa"/>
            <w:vAlign w:val="center"/>
          </w:tcPr>
          <w:p w14:paraId="712D2C7E" w14:textId="34A55114" w:rsidR="00080881" w:rsidRPr="008275B0" w:rsidRDefault="00080881" w:rsidP="00391462">
            <w:pPr>
              <w:pStyle w:val="af7"/>
              <w:jc w:val="center"/>
            </w:pPr>
            <w:r w:rsidRPr="008275B0">
              <w:t>15,2</w:t>
            </w:r>
          </w:p>
        </w:tc>
        <w:tc>
          <w:tcPr>
            <w:tcW w:w="851" w:type="dxa"/>
            <w:vAlign w:val="center"/>
          </w:tcPr>
          <w:p w14:paraId="3EC88D95" w14:textId="66E24D9B" w:rsidR="00080881" w:rsidRPr="008275B0" w:rsidRDefault="00080881" w:rsidP="00391462">
            <w:pPr>
              <w:pStyle w:val="af7"/>
              <w:jc w:val="center"/>
            </w:pPr>
            <w:r w:rsidRPr="008275B0">
              <w:t>15,3</w:t>
            </w:r>
          </w:p>
        </w:tc>
        <w:tc>
          <w:tcPr>
            <w:tcW w:w="850" w:type="dxa"/>
            <w:vAlign w:val="center"/>
          </w:tcPr>
          <w:p w14:paraId="0C4DC282" w14:textId="12C81A7D" w:rsidR="00080881" w:rsidRPr="008275B0" w:rsidRDefault="00080881" w:rsidP="00391462">
            <w:pPr>
              <w:pStyle w:val="af7"/>
              <w:jc w:val="center"/>
            </w:pPr>
            <w:r w:rsidRPr="008275B0">
              <w:t>15,5</w:t>
            </w:r>
          </w:p>
        </w:tc>
        <w:tc>
          <w:tcPr>
            <w:tcW w:w="851" w:type="dxa"/>
            <w:vAlign w:val="center"/>
          </w:tcPr>
          <w:p w14:paraId="6D10CACB" w14:textId="1EFA885B" w:rsidR="00080881" w:rsidRPr="008275B0" w:rsidRDefault="00080881" w:rsidP="00391462">
            <w:pPr>
              <w:pStyle w:val="af7"/>
              <w:jc w:val="center"/>
            </w:pPr>
            <w:r w:rsidRPr="008275B0">
              <w:t>15,7</w:t>
            </w:r>
          </w:p>
        </w:tc>
        <w:tc>
          <w:tcPr>
            <w:tcW w:w="850" w:type="dxa"/>
            <w:vAlign w:val="center"/>
          </w:tcPr>
          <w:p w14:paraId="3840B2AD" w14:textId="1832B30F" w:rsidR="00080881" w:rsidRPr="008275B0" w:rsidRDefault="00080881" w:rsidP="00391462">
            <w:pPr>
              <w:pStyle w:val="af7"/>
              <w:jc w:val="center"/>
            </w:pPr>
            <w:r w:rsidRPr="008275B0">
              <w:t>16</w:t>
            </w:r>
          </w:p>
        </w:tc>
        <w:tc>
          <w:tcPr>
            <w:tcW w:w="843" w:type="dxa"/>
            <w:vAlign w:val="center"/>
          </w:tcPr>
          <w:p w14:paraId="2513641A" w14:textId="6C0BF487" w:rsidR="00080881" w:rsidRPr="008275B0" w:rsidRDefault="00080881" w:rsidP="00391462">
            <w:pPr>
              <w:pStyle w:val="af7"/>
              <w:jc w:val="center"/>
            </w:pPr>
            <w:r w:rsidRPr="008275B0">
              <w:t>16,3</w:t>
            </w:r>
          </w:p>
        </w:tc>
        <w:tc>
          <w:tcPr>
            <w:tcW w:w="717" w:type="dxa"/>
            <w:vAlign w:val="center"/>
          </w:tcPr>
          <w:p w14:paraId="73F3F755" w14:textId="21B0D415" w:rsidR="00080881" w:rsidRPr="008275B0" w:rsidRDefault="00080881" w:rsidP="00391462">
            <w:pPr>
              <w:pStyle w:val="af7"/>
              <w:jc w:val="center"/>
            </w:pPr>
            <w:r w:rsidRPr="008275B0">
              <w:t>16,6</w:t>
            </w:r>
          </w:p>
        </w:tc>
        <w:tc>
          <w:tcPr>
            <w:tcW w:w="759" w:type="dxa"/>
            <w:vAlign w:val="center"/>
          </w:tcPr>
          <w:p w14:paraId="7164796D" w14:textId="17C4F8FB" w:rsidR="00080881" w:rsidRPr="008275B0" w:rsidRDefault="00080881" w:rsidP="00391462">
            <w:pPr>
              <w:pStyle w:val="af7"/>
              <w:jc w:val="center"/>
            </w:pPr>
            <w:r w:rsidRPr="008275B0">
              <w:t>16,9</w:t>
            </w:r>
          </w:p>
        </w:tc>
        <w:tc>
          <w:tcPr>
            <w:tcW w:w="792" w:type="dxa"/>
            <w:vAlign w:val="center"/>
          </w:tcPr>
          <w:p w14:paraId="36934D0C" w14:textId="7A90765E" w:rsidR="00080881" w:rsidRPr="008275B0" w:rsidRDefault="00080881" w:rsidP="00391462">
            <w:pPr>
              <w:pStyle w:val="af7"/>
              <w:jc w:val="center"/>
            </w:pPr>
            <w:r w:rsidRPr="008275B0">
              <w:t>17,2</w:t>
            </w:r>
          </w:p>
        </w:tc>
        <w:tc>
          <w:tcPr>
            <w:tcW w:w="717" w:type="dxa"/>
            <w:vAlign w:val="center"/>
          </w:tcPr>
          <w:p w14:paraId="4BFFA857" w14:textId="1319F567" w:rsidR="00080881" w:rsidRPr="008275B0" w:rsidRDefault="00080881" w:rsidP="00391462">
            <w:pPr>
              <w:pStyle w:val="af7"/>
              <w:jc w:val="center"/>
            </w:pPr>
            <w:r w:rsidRPr="008275B0">
              <w:t>21,0</w:t>
            </w:r>
          </w:p>
        </w:tc>
        <w:tc>
          <w:tcPr>
            <w:tcW w:w="1842" w:type="dxa"/>
            <w:vMerge w:val="restart"/>
          </w:tcPr>
          <w:p w14:paraId="29E9E96C" w14:textId="7FC1B02E" w:rsidR="00080881" w:rsidRPr="008275B0" w:rsidRDefault="00080881" w:rsidP="007B2F9D">
            <w:pPr>
              <w:pStyle w:val="af7"/>
              <w:rPr>
                <w:bCs/>
              </w:rPr>
            </w:pPr>
            <w:r w:rsidRPr="008275B0">
              <w:t>Департамент строительства и жилищно-коммунального комплекса Нефтеюганского района</w:t>
            </w:r>
          </w:p>
        </w:tc>
      </w:tr>
      <w:tr w:rsidR="002F4AD5" w:rsidRPr="008275B0" w14:paraId="7D3D034D" w14:textId="77777777" w:rsidTr="002F4AD5">
        <w:trPr>
          <w:trHeight w:val="617"/>
        </w:trPr>
        <w:tc>
          <w:tcPr>
            <w:tcW w:w="706" w:type="dxa"/>
            <w:vAlign w:val="center"/>
          </w:tcPr>
          <w:p w14:paraId="3635C88C" w14:textId="65E830A1" w:rsidR="00080881" w:rsidRPr="008275B0" w:rsidRDefault="00080881" w:rsidP="007B2F9D">
            <w:pPr>
              <w:pStyle w:val="af7"/>
            </w:pPr>
            <w:r w:rsidRPr="008275B0">
              <w:t>3.2.</w:t>
            </w:r>
          </w:p>
        </w:tc>
        <w:tc>
          <w:tcPr>
            <w:tcW w:w="2418" w:type="dxa"/>
            <w:vAlign w:val="center"/>
          </w:tcPr>
          <w:p w14:paraId="485B68EB" w14:textId="179E83E1" w:rsidR="00080881" w:rsidRPr="008275B0" w:rsidRDefault="00080881" w:rsidP="007B2F9D">
            <w:pPr>
              <w:pStyle w:val="af7"/>
              <w:rPr>
                <w:bCs/>
              </w:rPr>
            </w:pPr>
            <w:r w:rsidRPr="008275B0">
              <w:t>Удельный вес площади ветхого и аварийного жилого фонда в общей жилой площади</w:t>
            </w:r>
          </w:p>
        </w:tc>
        <w:tc>
          <w:tcPr>
            <w:tcW w:w="850" w:type="dxa"/>
            <w:vAlign w:val="center"/>
          </w:tcPr>
          <w:p w14:paraId="75D4D2D7" w14:textId="37361E17" w:rsidR="00080881" w:rsidRPr="008275B0" w:rsidRDefault="00080881" w:rsidP="00391462">
            <w:pPr>
              <w:pStyle w:val="af7"/>
              <w:jc w:val="center"/>
            </w:pPr>
            <w:r w:rsidRPr="008275B0">
              <w:t>%</w:t>
            </w:r>
          </w:p>
        </w:tc>
        <w:tc>
          <w:tcPr>
            <w:tcW w:w="851" w:type="dxa"/>
            <w:vAlign w:val="center"/>
          </w:tcPr>
          <w:p w14:paraId="00A96949" w14:textId="3BFC17B9" w:rsidR="00080881" w:rsidRPr="008275B0" w:rsidRDefault="00080881" w:rsidP="00391462">
            <w:pPr>
              <w:pStyle w:val="af7"/>
              <w:jc w:val="center"/>
              <w:rPr>
                <w:bCs/>
              </w:rPr>
            </w:pPr>
            <w:r w:rsidRPr="008275B0">
              <w:t>21,7</w:t>
            </w:r>
          </w:p>
        </w:tc>
        <w:tc>
          <w:tcPr>
            <w:tcW w:w="850" w:type="dxa"/>
            <w:vAlign w:val="center"/>
          </w:tcPr>
          <w:p w14:paraId="7E38CDA3" w14:textId="5BFA65E0" w:rsidR="00080881" w:rsidRPr="008275B0" w:rsidRDefault="00080881" w:rsidP="00391462">
            <w:pPr>
              <w:pStyle w:val="af7"/>
              <w:jc w:val="center"/>
            </w:pPr>
            <w:r w:rsidRPr="008275B0">
              <w:t>21,0</w:t>
            </w:r>
          </w:p>
        </w:tc>
        <w:tc>
          <w:tcPr>
            <w:tcW w:w="851" w:type="dxa"/>
            <w:vAlign w:val="center"/>
          </w:tcPr>
          <w:p w14:paraId="3B79A952" w14:textId="52AA05DA" w:rsidR="00080881" w:rsidRPr="008275B0" w:rsidRDefault="00080881" w:rsidP="00391462">
            <w:pPr>
              <w:pStyle w:val="af7"/>
              <w:jc w:val="center"/>
            </w:pPr>
            <w:r w:rsidRPr="008275B0">
              <w:t>20,4</w:t>
            </w:r>
          </w:p>
        </w:tc>
        <w:tc>
          <w:tcPr>
            <w:tcW w:w="850" w:type="dxa"/>
            <w:vAlign w:val="center"/>
          </w:tcPr>
          <w:p w14:paraId="0E5537A6" w14:textId="5FAF6192" w:rsidR="00080881" w:rsidRPr="008275B0" w:rsidRDefault="00080881" w:rsidP="00391462">
            <w:pPr>
              <w:pStyle w:val="af7"/>
              <w:jc w:val="center"/>
            </w:pPr>
            <w:r w:rsidRPr="008275B0">
              <w:t>19,8</w:t>
            </w:r>
          </w:p>
        </w:tc>
        <w:tc>
          <w:tcPr>
            <w:tcW w:w="851" w:type="dxa"/>
            <w:vAlign w:val="center"/>
          </w:tcPr>
          <w:p w14:paraId="6435E84A" w14:textId="1D16721B" w:rsidR="00080881" w:rsidRPr="008275B0" w:rsidRDefault="00080881" w:rsidP="00391462">
            <w:pPr>
              <w:pStyle w:val="af7"/>
              <w:jc w:val="center"/>
            </w:pPr>
            <w:r w:rsidRPr="008275B0">
              <w:t>19,2</w:t>
            </w:r>
          </w:p>
        </w:tc>
        <w:tc>
          <w:tcPr>
            <w:tcW w:w="850" w:type="dxa"/>
            <w:vAlign w:val="center"/>
          </w:tcPr>
          <w:p w14:paraId="031D50DA" w14:textId="6478B9DE" w:rsidR="00080881" w:rsidRPr="008275B0" w:rsidRDefault="00080881" w:rsidP="00391462">
            <w:pPr>
              <w:pStyle w:val="af7"/>
              <w:jc w:val="center"/>
            </w:pPr>
            <w:r w:rsidRPr="008275B0">
              <w:t>18,6</w:t>
            </w:r>
          </w:p>
        </w:tc>
        <w:tc>
          <w:tcPr>
            <w:tcW w:w="843" w:type="dxa"/>
            <w:vAlign w:val="center"/>
          </w:tcPr>
          <w:p w14:paraId="16B3793D" w14:textId="63026260" w:rsidR="00080881" w:rsidRPr="008275B0" w:rsidRDefault="00080881" w:rsidP="00391462">
            <w:pPr>
              <w:pStyle w:val="af7"/>
              <w:jc w:val="center"/>
            </w:pPr>
            <w:r w:rsidRPr="008275B0">
              <w:t>18,1</w:t>
            </w:r>
          </w:p>
        </w:tc>
        <w:tc>
          <w:tcPr>
            <w:tcW w:w="717" w:type="dxa"/>
            <w:vAlign w:val="center"/>
          </w:tcPr>
          <w:p w14:paraId="7E3EDBEC" w14:textId="1BFFFE39" w:rsidR="00080881" w:rsidRPr="008275B0" w:rsidRDefault="00080881" w:rsidP="00391462">
            <w:pPr>
              <w:pStyle w:val="af7"/>
              <w:jc w:val="center"/>
            </w:pPr>
            <w:r w:rsidRPr="008275B0">
              <w:t>17,5</w:t>
            </w:r>
          </w:p>
        </w:tc>
        <w:tc>
          <w:tcPr>
            <w:tcW w:w="759" w:type="dxa"/>
            <w:vAlign w:val="center"/>
          </w:tcPr>
          <w:p w14:paraId="4C87D782" w14:textId="199A21AD" w:rsidR="00080881" w:rsidRPr="008275B0" w:rsidRDefault="00080881" w:rsidP="00391462">
            <w:pPr>
              <w:pStyle w:val="af7"/>
              <w:jc w:val="center"/>
            </w:pPr>
            <w:r w:rsidRPr="008275B0">
              <w:t>17,0</w:t>
            </w:r>
          </w:p>
        </w:tc>
        <w:tc>
          <w:tcPr>
            <w:tcW w:w="792" w:type="dxa"/>
            <w:vAlign w:val="center"/>
          </w:tcPr>
          <w:p w14:paraId="126369ED" w14:textId="369B9253" w:rsidR="00080881" w:rsidRPr="008275B0" w:rsidRDefault="00080881" w:rsidP="00391462">
            <w:pPr>
              <w:pStyle w:val="af7"/>
              <w:jc w:val="center"/>
            </w:pPr>
            <w:r w:rsidRPr="008275B0">
              <w:t>16,5</w:t>
            </w:r>
          </w:p>
        </w:tc>
        <w:tc>
          <w:tcPr>
            <w:tcW w:w="717" w:type="dxa"/>
            <w:vAlign w:val="center"/>
          </w:tcPr>
          <w:p w14:paraId="0AE35875" w14:textId="0AF9FF1A" w:rsidR="00080881" w:rsidRPr="008275B0" w:rsidRDefault="00080881" w:rsidP="00391462">
            <w:pPr>
              <w:pStyle w:val="af7"/>
              <w:jc w:val="center"/>
            </w:pPr>
            <w:r w:rsidRPr="008275B0">
              <w:t>14,2</w:t>
            </w:r>
          </w:p>
        </w:tc>
        <w:tc>
          <w:tcPr>
            <w:tcW w:w="1842" w:type="dxa"/>
            <w:vMerge/>
            <w:vAlign w:val="center"/>
          </w:tcPr>
          <w:p w14:paraId="4EC52C30" w14:textId="77777777" w:rsidR="00080881" w:rsidRPr="008275B0" w:rsidRDefault="00080881" w:rsidP="007B2F9D">
            <w:pPr>
              <w:pStyle w:val="af7"/>
            </w:pPr>
          </w:p>
        </w:tc>
      </w:tr>
      <w:tr w:rsidR="002F4AD5" w:rsidRPr="008275B0" w14:paraId="38CF5894" w14:textId="77777777" w:rsidTr="002F4AD5">
        <w:trPr>
          <w:trHeight w:val="617"/>
        </w:trPr>
        <w:tc>
          <w:tcPr>
            <w:tcW w:w="706" w:type="dxa"/>
            <w:vAlign w:val="center"/>
          </w:tcPr>
          <w:p w14:paraId="6DA77265" w14:textId="77777777" w:rsidR="00080881" w:rsidRPr="008275B0" w:rsidRDefault="00080881" w:rsidP="007B2F9D">
            <w:pPr>
              <w:pStyle w:val="af7"/>
            </w:pPr>
          </w:p>
        </w:tc>
        <w:tc>
          <w:tcPr>
            <w:tcW w:w="2418" w:type="dxa"/>
            <w:vAlign w:val="center"/>
          </w:tcPr>
          <w:p w14:paraId="4BDC773D" w14:textId="0585E589" w:rsidR="00080881" w:rsidRPr="008275B0" w:rsidRDefault="00080881" w:rsidP="007B2F9D">
            <w:pPr>
              <w:pStyle w:val="af7"/>
            </w:pPr>
            <w:r w:rsidRPr="008275B0">
              <w:t>Удельный вес площади жилищного фонда (в городской, сельской местности), оборудованного:</w:t>
            </w:r>
          </w:p>
        </w:tc>
        <w:tc>
          <w:tcPr>
            <w:tcW w:w="850" w:type="dxa"/>
            <w:vAlign w:val="center"/>
          </w:tcPr>
          <w:p w14:paraId="63D74463" w14:textId="77777777" w:rsidR="00080881" w:rsidRPr="008275B0" w:rsidRDefault="00080881" w:rsidP="00391462">
            <w:pPr>
              <w:pStyle w:val="af7"/>
              <w:jc w:val="center"/>
            </w:pPr>
          </w:p>
        </w:tc>
        <w:tc>
          <w:tcPr>
            <w:tcW w:w="851" w:type="dxa"/>
            <w:vAlign w:val="center"/>
          </w:tcPr>
          <w:p w14:paraId="54677303" w14:textId="77777777" w:rsidR="00080881" w:rsidRPr="008275B0" w:rsidRDefault="00080881" w:rsidP="00391462">
            <w:pPr>
              <w:pStyle w:val="af7"/>
              <w:jc w:val="center"/>
            </w:pPr>
          </w:p>
        </w:tc>
        <w:tc>
          <w:tcPr>
            <w:tcW w:w="850" w:type="dxa"/>
            <w:vAlign w:val="center"/>
          </w:tcPr>
          <w:p w14:paraId="1FB42D42" w14:textId="77777777" w:rsidR="00080881" w:rsidRPr="008275B0" w:rsidRDefault="00080881" w:rsidP="00391462">
            <w:pPr>
              <w:pStyle w:val="af7"/>
              <w:jc w:val="center"/>
            </w:pPr>
          </w:p>
        </w:tc>
        <w:tc>
          <w:tcPr>
            <w:tcW w:w="851" w:type="dxa"/>
            <w:vAlign w:val="center"/>
          </w:tcPr>
          <w:p w14:paraId="4AE88CF8" w14:textId="77777777" w:rsidR="00080881" w:rsidRPr="008275B0" w:rsidRDefault="00080881" w:rsidP="00391462">
            <w:pPr>
              <w:pStyle w:val="af7"/>
              <w:jc w:val="center"/>
            </w:pPr>
          </w:p>
        </w:tc>
        <w:tc>
          <w:tcPr>
            <w:tcW w:w="850" w:type="dxa"/>
            <w:vAlign w:val="center"/>
          </w:tcPr>
          <w:p w14:paraId="4062921A" w14:textId="77777777" w:rsidR="00080881" w:rsidRPr="008275B0" w:rsidRDefault="00080881" w:rsidP="00391462">
            <w:pPr>
              <w:pStyle w:val="af7"/>
              <w:jc w:val="center"/>
            </w:pPr>
          </w:p>
        </w:tc>
        <w:tc>
          <w:tcPr>
            <w:tcW w:w="851" w:type="dxa"/>
            <w:vAlign w:val="center"/>
          </w:tcPr>
          <w:p w14:paraId="5E38F76B" w14:textId="76449705" w:rsidR="00080881" w:rsidRPr="008275B0" w:rsidRDefault="00080881" w:rsidP="00391462">
            <w:pPr>
              <w:pStyle w:val="af7"/>
              <w:jc w:val="center"/>
            </w:pPr>
          </w:p>
        </w:tc>
        <w:tc>
          <w:tcPr>
            <w:tcW w:w="850" w:type="dxa"/>
            <w:vAlign w:val="center"/>
          </w:tcPr>
          <w:p w14:paraId="4A78B7C9" w14:textId="77777777" w:rsidR="00080881" w:rsidRPr="008275B0" w:rsidRDefault="00080881" w:rsidP="00391462">
            <w:pPr>
              <w:pStyle w:val="af7"/>
              <w:jc w:val="center"/>
            </w:pPr>
          </w:p>
        </w:tc>
        <w:tc>
          <w:tcPr>
            <w:tcW w:w="843" w:type="dxa"/>
            <w:vAlign w:val="center"/>
          </w:tcPr>
          <w:p w14:paraId="142F73C9" w14:textId="77777777" w:rsidR="00080881" w:rsidRPr="008275B0" w:rsidRDefault="00080881" w:rsidP="00391462">
            <w:pPr>
              <w:pStyle w:val="af7"/>
              <w:jc w:val="center"/>
            </w:pPr>
          </w:p>
        </w:tc>
        <w:tc>
          <w:tcPr>
            <w:tcW w:w="717" w:type="dxa"/>
            <w:vAlign w:val="center"/>
          </w:tcPr>
          <w:p w14:paraId="7B79B0B8" w14:textId="77777777" w:rsidR="00080881" w:rsidRPr="008275B0" w:rsidRDefault="00080881" w:rsidP="00391462">
            <w:pPr>
              <w:pStyle w:val="af7"/>
              <w:jc w:val="center"/>
            </w:pPr>
          </w:p>
        </w:tc>
        <w:tc>
          <w:tcPr>
            <w:tcW w:w="759" w:type="dxa"/>
            <w:vAlign w:val="center"/>
          </w:tcPr>
          <w:p w14:paraId="067D86B9" w14:textId="77777777" w:rsidR="00080881" w:rsidRPr="008275B0" w:rsidRDefault="00080881" w:rsidP="00391462">
            <w:pPr>
              <w:pStyle w:val="af7"/>
              <w:jc w:val="center"/>
            </w:pPr>
          </w:p>
        </w:tc>
        <w:tc>
          <w:tcPr>
            <w:tcW w:w="792" w:type="dxa"/>
            <w:vAlign w:val="center"/>
          </w:tcPr>
          <w:p w14:paraId="18A60EB2" w14:textId="77777777" w:rsidR="00080881" w:rsidRPr="008275B0" w:rsidRDefault="00080881" w:rsidP="00391462">
            <w:pPr>
              <w:pStyle w:val="af7"/>
              <w:jc w:val="center"/>
            </w:pPr>
          </w:p>
        </w:tc>
        <w:tc>
          <w:tcPr>
            <w:tcW w:w="717" w:type="dxa"/>
            <w:vAlign w:val="center"/>
          </w:tcPr>
          <w:p w14:paraId="358E91F0" w14:textId="77777777" w:rsidR="00080881" w:rsidRPr="008275B0" w:rsidRDefault="00080881" w:rsidP="00391462">
            <w:pPr>
              <w:pStyle w:val="af7"/>
              <w:jc w:val="center"/>
            </w:pPr>
          </w:p>
        </w:tc>
        <w:tc>
          <w:tcPr>
            <w:tcW w:w="1842" w:type="dxa"/>
            <w:vMerge/>
            <w:vAlign w:val="center"/>
          </w:tcPr>
          <w:p w14:paraId="398184C5" w14:textId="77777777" w:rsidR="00080881" w:rsidRPr="008275B0" w:rsidRDefault="00080881" w:rsidP="007B2F9D">
            <w:pPr>
              <w:pStyle w:val="af7"/>
            </w:pPr>
          </w:p>
        </w:tc>
      </w:tr>
      <w:tr w:rsidR="002F4AD5" w:rsidRPr="008275B0" w14:paraId="5C2CFC8C" w14:textId="77777777" w:rsidTr="002F4AD5">
        <w:trPr>
          <w:trHeight w:val="617"/>
        </w:trPr>
        <w:tc>
          <w:tcPr>
            <w:tcW w:w="706" w:type="dxa"/>
            <w:vAlign w:val="center"/>
          </w:tcPr>
          <w:p w14:paraId="45ABA083" w14:textId="419DE932" w:rsidR="00080881" w:rsidRPr="008275B0" w:rsidRDefault="00080881" w:rsidP="007B2F9D">
            <w:pPr>
              <w:pStyle w:val="af7"/>
            </w:pPr>
            <w:r w:rsidRPr="008275B0">
              <w:t>3.3.</w:t>
            </w:r>
          </w:p>
        </w:tc>
        <w:tc>
          <w:tcPr>
            <w:tcW w:w="2418" w:type="dxa"/>
            <w:vAlign w:val="center"/>
          </w:tcPr>
          <w:p w14:paraId="643994FC" w14:textId="62080339" w:rsidR="00080881" w:rsidRPr="008275B0" w:rsidRDefault="00080881" w:rsidP="007B2F9D">
            <w:pPr>
              <w:pStyle w:val="af7"/>
              <w:rPr>
                <w:bCs/>
              </w:rPr>
            </w:pPr>
            <w:r w:rsidRPr="008275B0">
              <w:t>горячим водоснабжением</w:t>
            </w:r>
          </w:p>
        </w:tc>
        <w:tc>
          <w:tcPr>
            <w:tcW w:w="850" w:type="dxa"/>
            <w:vAlign w:val="center"/>
          </w:tcPr>
          <w:p w14:paraId="101567C2" w14:textId="68708D4D" w:rsidR="00080881" w:rsidRPr="008275B0" w:rsidRDefault="00080881" w:rsidP="00391462">
            <w:pPr>
              <w:pStyle w:val="af7"/>
              <w:jc w:val="center"/>
            </w:pPr>
            <w:r w:rsidRPr="008275B0">
              <w:t>%</w:t>
            </w:r>
          </w:p>
        </w:tc>
        <w:tc>
          <w:tcPr>
            <w:tcW w:w="851" w:type="dxa"/>
            <w:vAlign w:val="center"/>
          </w:tcPr>
          <w:p w14:paraId="203A39A5" w14:textId="40E9BCE2" w:rsidR="00080881" w:rsidRPr="008275B0" w:rsidRDefault="00080881" w:rsidP="00391462">
            <w:pPr>
              <w:pStyle w:val="af7"/>
              <w:jc w:val="center"/>
              <w:rPr>
                <w:rFonts w:eastAsia="Times New Roman"/>
                <w:bCs/>
                <w:color w:val="000000"/>
              </w:rPr>
            </w:pPr>
            <w:r w:rsidRPr="008275B0">
              <w:t>97,8</w:t>
            </w:r>
          </w:p>
        </w:tc>
        <w:tc>
          <w:tcPr>
            <w:tcW w:w="850" w:type="dxa"/>
            <w:vAlign w:val="center"/>
          </w:tcPr>
          <w:p w14:paraId="74C2434F" w14:textId="61FFF1E2" w:rsidR="00080881" w:rsidRPr="008275B0" w:rsidRDefault="00080881" w:rsidP="00391462">
            <w:pPr>
              <w:pStyle w:val="af7"/>
              <w:jc w:val="center"/>
            </w:pPr>
            <w:r w:rsidRPr="008275B0">
              <w:t>97,9</w:t>
            </w:r>
          </w:p>
        </w:tc>
        <w:tc>
          <w:tcPr>
            <w:tcW w:w="851" w:type="dxa"/>
            <w:vAlign w:val="center"/>
          </w:tcPr>
          <w:p w14:paraId="5CEDA36D" w14:textId="20F287DE" w:rsidR="00080881" w:rsidRPr="008275B0" w:rsidRDefault="00080881" w:rsidP="00391462">
            <w:pPr>
              <w:pStyle w:val="af7"/>
              <w:jc w:val="center"/>
            </w:pPr>
            <w:r w:rsidRPr="008275B0">
              <w:t>98,0</w:t>
            </w:r>
          </w:p>
        </w:tc>
        <w:tc>
          <w:tcPr>
            <w:tcW w:w="850" w:type="dxa"/>
            <w:vAlign w:val="center"/>
          </w:tcPr>
          <w:p w14:paraId="2EB2BBD0" w14:textId="13531808" w:rsidR="00080881" w:rsidRPr="008275B0" w:rsidRDefault="00080881" w:rsidP="00391462">
            <w:pPr>
              <w:pStyle w:val="af7"/>
              <w:jc w:val="center"/>
            </w:pPr>
            <w:r w:rsidRPr="008275B0">
              <w:t>98,1</w:t>
            </w:r>
          </w:p>
        </w:tc>
        <w:tc>
          <w:tcPr>
            <w:tcW w:w="851" w:type="dxa"/>
            <w:vAlign w:val="center"/>
          </w:tcPr>
          <w:p w14:paraId="5B9D1BC4" w14:textId="208BCFE1" w:rsidR="00080881" w:rsidRPr="008275B0" w:rsidRDefault="00080881" w:rsidP="00391462">
            <w:pPr>
              <w:pStyle w:val="af7"/>
              <w:jc w:val="center"/>
            </w:pPr>
            <w:r w:rsidRPr="008275B0">
              <w:t>98,2</w:t>
            </w:r>
          </w:p>
        </w:tc>
        <w:tc>
          <w:tcPr>
            <w:tcW w:w="850" w:type="dxa"/>
            <w:vAlign w:val="center"/>
          </w:tcPr>
          <w:p w14:paraId="353F27F6" w14:textId="2045E273" w:rsidR="00080881" w:rsidRPr="008275B0" w:rsidRDefault="00080881" w:rsidP="00391462">
            <w:pPr>
              <w:pStyle w:val="af7"/>
              <w:jc w:val="center"/>
            </w:pPr>
            <w:r w:rsidRPr="008275B0">
              <w:t>98,3</w:t>
            </w:r>
          </w:p>
        </w:tc>
        <w:tc>
          <w:tcPr>
            <w:tcW w:w="843" w:type="dxa"/>
            <w:vAlign w:val="center"/>
          </w:tcPr>
          <w:p w14:paraId="52ECE893" w14:textId="340D1671" w:rsidR="00080881" w:rsidRPr="008275B0" w:rsidRDefault="00080881" w:rsidP="00391462">
            <w:pPr>
              <w:pStyle w:val="af7"/>
              <w:jc w:val="center"/>
            </w:pPr>
            <w:r w:rsidRPr="008275B0">
              <w:t>98,4</w:t>
            </w:r>
          </w:p>
        </w:tc>
        <w:tc>
          <w:tcPr>
            <w:tcW w:w="717" w:type="dxa"/>
            <w:vAlign w:val="center"/>
          </w:tcPr>
          <w:p w14:paraId="65A331EE" w14:textId="7522BD85" w:rsidR="00080881" w:rsidRPr="008275B0" w:rsidRDefault="00080881" w:rsidP="00391462">
            <w:pPr>
              <w:pStyle w:val="af7"/>
              <w:jc w:val="center"/>
            </w:pPr>
            <w:r w:rsidRPr="008275B0">
              <w:t>98,4</w:t>
            </w:r>
          </w:p>
        </w:tc>
        <w:tc>
          <w:tcPr>
            <w:tcW w:w="759" w:type="dxa"/>
            <w:vAlign w:val="center"/>
          </w:tcPr>
          <w:p w14:paraId="40BF7232" w14:textId="50CD9AAA" w:rsidR="00080881" w:rsidRPr="008275B0" w:rsidRDefault="00080881" w:rsidP="00391462">
            <w:pPr>
              <w:pStyle w:val="af7"/>
              <w:jc w:val="center"/>
            </w:pPr>
            <w:r w:rsidRPr="008275B0">
              <w:t>98,5</w:t>
            </w:r>
          </w:p>
        </w:tc>
        <w:tc>
          <w:tcPr>
            <w:tcW w:w="792" w:type="dxa"/>
            <w:vAlign w:val="center"/>
          </w:tcPr>
          <w:p w14:paraId="0B8CAFE0" w14:textId="7AB355A1" w:rsidR="00080881" w:rsidRPr="008275B0" w:rsidRDefault="00080881" w:rsidP="00391462">
            <w:pPr>
              <w:pStyle w:val="af7"/>
              <w:jc w:val="center"/>
            </w:pPr>
            <w:r w:rsidRPr="008275B0">
              <w:t>98,5</w:t>
            </w:r>
          </w:p>
        </w:tc>
        <w:tc>
          <w:tcPr>
            <w:tcW w:w="717" w:type="dxa"/>
            <w:vAlign w:val="center"/>
          </w:tcPr>
          <w:p w14:paraId="2F43D155" w14:textId="4CE8F494" w:rsidR="00080881" w:rsidRPr="008275B0" w:rsidRDefault="00080881" w:rsidP="00391462">
            <w:pPr>
              <w:pStyle w:val="af7"/>
              <w:jc w:val="center"/>
            </w:pPr>
            <w:r w:rsidRPr="008275B0">
              <w:t>99,0</w:t>
            </w:r>
          </w:p>
        </w:tc>
        <w:tc>
          <w:tcPr>
            <w:tcW w:w="1842" w:type="dxa"/>
            <w:vMerge/>
            <w:vAlign w:val="center"/>
          </w:tcPr>
          <w:p w14:paraId="57C2831E" w14:textId="77777777" w:rsidR="00080881" w:rsidRPr="008275B0" w:rsidRDefault="00080881" w:rsidP="007B2F9D">
            <w:pPr>
              <w:pStyle w:val="af7"/>
            </w:pPr>
          </w:p>
        </w:tc>
      </w:tr>
      <w:tr w:rsidR="002F4AD5" w:rsidRPr="008275B0" w14:paraId="12765FEA" w14:textId="77777777" w:rsidTr="002F4AD5">
        <w:trPr>
          <w:trHeight w:val="617"/>
        </w:trPr>
        <w:tc>
          <w:tcPr>
            <w:tcW w:w="706" w:type="dxa"/>
            <w:vAlign w:val="center"/>
          </w:tcPr>
          <w:p w14:paraId="4DF91989" w14:textId="1FFBAB9B" w:rsidR="00080881" w:rsidRPr="008275B0" w:rsidRDefault="00080881" w:rsidP="007B2F9D">
            <w:pPr>
              <w:pStyle w:val="af7"/>
            </w:pPr>
            <w:r w:rsidRPr="008275B0">
              <w:lastRenderedPageBreak/>
              <w:t>3.4.</w:t>
            </w:r>
          </w:p>
        </w:tc>
        <w:tc>
          <w:tcPr>
            <w:tcW w:w="2418" w:type="dxa"/>
            <w:vAlign w:val="center"/>
          </w:tcPr>
          <w:p w14:paraId="68556932" w14:textId="14F32AFC" w:rsidR="00080881" w:rsidRPr="008275B0" w:rsidRDefault="00080881" w:rsidP="007B2F9D">
            <w:pPr>
              <w:pStyle w:val="af7"/>
              <w:rPr>
                <w:bCs/>
              </w:rPr>
            </w:pPr>
            <w:r w:rsidRPr="008275B0">
              <w:t>центральным отоплением</w:t>
            </w:r>
          </w:p>
        </w:tc>
        <w:tc>
          <w:tcPr>
            <w:tcW w:w="850" w:type="dxa"/>
            <w:vAlign w:val="center"/>
          </w:tcPr>
          <w:p w14:paraId="2FB1877F" w14:textId="4FC4B893" w:rsidR="00080881" w:rsidRPr="008275B0" w:rsidRDefault="00080881" w:rsidP="00391462">
            <w:pPr>
              <w:pStyle w:val="af7"/>
              <w:jc w:val="center"/>
            </w:pPr>
            <w:r w:rsidRPr="008275B0">
              <w:t>%</w:t>
            </w:r>
          </w:p>
        </w:tc>
        <w:tc>
          <w:tcPr>
            <w:tcW w:w="851" w:type="dxa"/>
            <w:vAlign w:val="center"/>
          </w:tcPr>
          <w:p w14:paraId="48A7CEEE" w14:textId="48E9ADA1" w:rsidR="00080881" w:rsidRPr="008275B0" w:rsidRDefault="00080881" w:rsidP="00391462">
            <w:pPr>
              <w:pStyle w:val="af7"/>
              <w:jc w:val="center"/>
              <w:rPr>
                <w:rFonts w:eastAsia="Times New Roman"/>
                <w:bCs/>
                <w:color w:val="000000"/>
              </w:rPr>
            </w:pPr>
            <w:r w:rsidRPr="008275B0">
              <w:t>97,7</w:t>
            </w:r>
          </w:p>
        </w:tc>
        <w:tc>
          <w:tcPr>
            <w:tcW w:w="850" w:type="dxa"/>
            <w:vAlign w:val="center"/>
          </w:tcPr>
          <w:p w14:paraId="68BA585A" w14:textId="47B6C53E" w:rsidR="00080881" w:rsidRPr="008275B0" w:rsidRDefault="00080881" w:rsidP="00391462">
            <w:pPr>
              <w:pStyle w:val="af7"/>
              <w:jc w:val="center"/>
            </w:pPr>
            <w:r w:rsidRPr="008275B0">
              <w:t>97,8</w:t>
            </w:r>
          </w:p>
        </w:tc>
        <w:tc>
          <w:tcPr>
            <w:tcW w:w="851" w:type="dxa"/>
            <w:vAlign w:val="center"/>
          </w:tcPr>
          <w:p w14:paraId="502A5683" w14:textId="75CDB036" w:rsidR="00080881" w:rsidRPr="008275B0" w:rsidRDefault="00080881" w:rsidP="00391462">
            <w:pPr>
              <w:pStyle w:val="af7"/>
              <w:jc w:val="center"/>
            </w:pPr>
            <w:r w:rsidRPr="008275B0">
              <w:t>97,9</w:t>
            </w:r>
          </w:p>
        </w:tc>
        <w:tc>
          <w:tcPr>
            <w:tcW w:w="850" w:type="dxa"/>
            <w:vAlign w:val="center"/>
          </w:tcPr>
          <w:p w14:paraId="238FC3DF" w14:textId="6EEE087E" w:rsidR="00080881" w:rsidRPr="008275B0" w:rsidRDefault="00080881" w:rsidP="00391462">
            <w:pPr>
              <w:pStyle w:val="af7"/>
              <w:jc w:val="center"/>
            </w:pPr>
            <w:r w:rsidRPr="008275B0">
              <w:t>98,0</w:t>
            </w:r>
          </w:p>
        </w:tc>
        <w:tc>
          <w:tcPr>
            <w:tcW w:w="851" w:type="dxa"/>
            <w:vAlign w:val="center"/>
          </w:tcPr>
          <w:p w14:paraId="4FDC5102" w14:textId="19DBE292" w:rsidR="00080881" w:rsidRPr="008275B0" w:rsidRDefault="00080881" w:rsidP="00391462">
            <w:pPr>
              <w:pStyle w:val="af7"/>
              <w:jc w:val="center"/>
            </w:pPr>
            <w:r w:rsidRPr="008275B0">
              <w:t>98,1</w:t>
            </w:r>
          </w:p>
        </w:tc>
        <w:tc>
          <w:tcPr>
            <w:tcW w:w="850" w:type="dxa"/>
            <w:vAlign w:val="center"/>
          </w:tcPr>
          <w:p w14:paraId="521C8B2C" w14:textId="725BBA61" w:rsidR="00080881" w:rsidRPr="008275B0" w:rsidRDefault="00080881" w:rsidP="00391462">
            <w:pPr>
              <w:pStyle w:val="af7"/>
              <w:jc w:val="center"/>
            </w:pPr>
            <w:r w:rsidRPr="008275B0">
              <w:t>98,2</w:t>
            </w:r>
          </w:p>
        </w:tc>
        <w:tc>
          <w:tcPr>
            <w:tcW w:w="843" w:type="dxa"/>
            <w:vAlign w:val="center"/>
          </w:tcPr>
          <w:p w14:paraId="2C1401D5" w14:textId="440A161F" w:rsidR="00080881" w:rsidRPr="008275B0" w:rsidRDefault="00080881" w:rsidP="00391462">
            <w:pPr>
              <w:pStyle w:val="af7"/>
              <w:jc w:val="center"/>
            </w:pPr>
            <w:r w:rsidRPr="008275B0">
              <w:t>98,3</w:t>
            </w:r>
          </w:p>
        </w:tc>
        <w:tc>
          <w:tcPr>
            <w:tcW w:w="717" w:type="dxa"/>
            <w:vAlign w:val="center"/>
          </w:tcPr>
          <w:p w14:paraId="169722F8" w14:textId="51FF78E7" w:rsidR="00080881" w:rsidRPr="008275B0" w:rsidRDefault="00080881" w:rsidP="00391462">
            <w:pPr>
              <w:pStyle w:val="af7"/>
              <w:jc w:val="center"/>
            </w:pPr>
            <w:r w:rsidRPr="008275B0">
              <w:t>98,4</w:t>
            </w:r>
          </w:p>
        </w:tc>
        <w:tc>
          <w:tcPr>
            <w:tcW w:w="759" w:type="dxa"/>
            <w:vAlign w:val="center"/>
          </w:tcPr>
          <w:p w14:paraId="3F254EB9" w14:textId="02EB8D5E" w:rsidR="00080881" w:rsidRPr="008275B0" w:rsidRDefault="00080881" w:rsidP="00391462">
            <w:pPr>
              <w:pStyle w:val="af7"/>
              <w:jc w:val="center"/>
            </w:pPr>
            <w:r w:rsidRPr="008275B0">
              <w:t>98,5</w:t>
            </w:r>
          </w:p>
        </w:tc>
        <w:tc>
          <w:tcPr>
            <w:tcW w:w="792" w:type="dxa"/>
            <w:vAlign w:val="center"/>
          </w:tcPr>
          <w:p w14:paraId="1549E5C1" w14:textId="0FC8CE6A" w:rsidR="00080881" w:rsidRPr="008275B0" w:rsidRDefault="00080881" w:rsidP="00391462">
            <w:pPr>
              <w:pStyle w:val="af7"/>
              <w:jc w:val="center"/>
            </w:pPr>
            <w:r w:rsidRPr="008275B0">
              <w:t>98,6</w:t>
            </w:r>
          </w:p>
        </w:tc>
        <w:tc>
          <w:tcPr>
            <w:tcW w:w="717" w:type="dxa"/>
            <w:vAlign w:val="center"/>
          </w:tcPr>
          <w:p w14:paraId="4EFFC8B9" w14:textId="25A371C1" w:rsidR="00080881" w:rsidRPr="008275B0" w:rsidRDefault="00080881" w:rsidP="00391462">
            <w:pPr>
              <w:pStyle w:val="af7"/>
              <w:jc w:val="center"/>
              <w:rPr>
                <w:rFonts w:eastAsia="Times New Roman"/>
                <w:bCs/>
              </w:rPr>
            </w:pPr>
            <w:r w:rsidRPr="008275B0">
              <w:t>99,0</w:t>
            </w:r>
          </w:p>
        </w:tc>
        <w:tc>
          <w:tcPr>
            <w:tcW w:w="1842" w:type="dxa"/>
            <w:vMerge/>
            <w:vAlign w:val="center"/>
          </w:tcPr>
          <w:p w14:paraId="45C4301B" w14:textId="77777777" w:rsidR="00080881" w:rsidRPr="008275B0" w:rsidRDefault="00080881" w:rsidP="007B2F9D">
            <w:pPr>
              <w:pStyle w:val="af7"/>
            </w:pPr>
          </w:p>
        </w:tc>
      </w:tr>
      <w:tr w:rsidR="002F4AD5" w:rsidRPr="008275B0" w14:paraId="281BCCCD" w14:textId="77777777" w:rsidTr="002F4AD5">
        <w:trPr>
          <w:trHeight w:val="617"/>
        </w:trPr>
        <w:tc>
          <w:tcPr>
            <w:tcW w:w="706" w:type="dxa"/>
            <w:vAlign w:val="center"/>
          </w:tcPr>
          <w:p w14:paraId="38516A1E" w14:textId="0A4FCA44" w:rsidR="00080881" w:rsidRPr="008275B0" w:rsidRDefault="00080881" w:rsidP="007B2F9D">
            <w:pPr>
              <w:pStyle w:val="af7"/>
            </w:pPr>
            <w:r w:rsidRPr="008275B0">
              <w:t>3.5.</w:t>
            </w:r>
          </w:p>
        </w:tc>
        <w:tc>
          <w:tcPr>
            <w:tcW w:w="2418" w:type="dxa"/>
            <w:vAlign w:val="center"/>
          </w:tcPr>
          <w:p w14:paraId="2660E322" w14:textId="320F3B51" w:rsidR="00080881" w:rsidRPr="008275B0" w:rsidRDefault="00080881" w:rsidP="007B2F9D">
            <w:pPr>
              <w:pStyle w:val="af7"/>
              <w:rPr>
                <w:bCs/>
              </w:rPr>
            </w:pPr>
            <w:r w:rsidRPr="008275B0">
              <w:t>канализацией</w:t>
            </w:r>
          </w:p>
        </w:tc>
        <w:tc>
          <w:tcPr>
            <w:tcW w:w="850" w:type="dxa"/>
            <w:vAlign w:val="center"/>
          </w:tcPr>
          <w:p w14:paraId="6DF647D8" w14:textId="0D635723" w:rsidR="00080881" w:rsidRPr="008275B0" w:rsidRDefault="00080881" w:rsidP="00391462">
            <w:pPr>
              <w:pStyle w:val="af7"/>
              <w:jc w:val="center"/>
            </w:pPr>
            <w:r w:rsidRPr="008275B0">
              <w:t>%</w:t>
            </w:r>
          </w:p>
        </w:tc>
        <w:tc>
          <w:tcPr>
            <w:tcW w:w="851" w:type="dxa"/>
            <w:vAlign w:val="center"/>
          </w:tcPr>
          <w:p w14:paraId="1C2F2806" w14:textId="3712A2D9" w:rsidR="00080881" w:rsidRPr="008275B0" w:rsidRDefault="00080881" w:rsidP="00391462">
            <w:pPr>
              <w:pStyle w:val="af7"/>
              <w:jc w:val="center"/>
              <w:rPr>
                <w:rFonts w:eastAsia="Times New Roman"/>
                <w:bCs/>
                <w:color w:val="000000"/>
              </w:rPr>
            </w:pPr>
            <w:r w:rsidRPr="008275B0">
              <w:t>94,9</w:t>
            </w:r>
          </w:p>
        </w:tc>
        <w:tc>
          <w:tcPr>
            <w:tcW w:w="850" w:type="dxa"/>
            <w:vAlign w:val="center"/>
          </w:tcPr>
          <w:p w14:paraId="581F4013" w14:textId="60FE1D19" w:rsidR="00080881" w:rsidRPr="008275B0" w:rsidRDefault="00080881" w:rsidP="00391462">
            <w:pPr>
              <w:pStyle w:val="af7"/>
              <w:jc w:val="center"/>
            </w:pPr>
            <w:r w:rsidRPr="008275B0">
              <w:t>95,2</w:t>
            </w:r>
          </w:p>
        </w:tc>
        <w:tc>
          <w:tcPr>
            <w:tcW w:w="851" w:type="dxa"/>
            <w:vAlign w:val="center"/>
          </w:tcPr>
          <w:p w14:paraId="25D8F7C5" w14:textId="3CC8B3CC" w:rsidR="00080881" w:rsidRPr="008275B0" w:rsidRDefault="00080881" w:rsidP="00391462">
            <w:pPr>
              <w:pStyle w:val="af7"/>
              <w:jc w:val="center"/>
            </w:pPr>
            <w:r w:rsidRPr="008275B0">
              <w:t>95,3</w:t>
            </w:r>
          </w:p>
        </w:tc>
        <w:tc>
          <w:tcPr>
            <w:tcW w:w="850" w:type="dxa"/>
            <w:vAlign w:val="center"/>
          </w:tcPr>
          <w:p w14:paraId="625BE95A" w14:textId="32FC2B81" w:rsidR="00080881" w:rsidRPr="008275B0" w:rsidRDefault="00080881" w:rsidP="00391462">
            <w:pPr>
              <w:pStyle w:val="af7"/>
              <w:jc w:val="center"/>
            </w:pPr>
            <w:r w:rsidRPr="008275B0">
              <w:t>95,5</w:t>
            </w:r>
          </w:p>
        </w:tc>
        <w:tc>
          <w:tcPr>
            <w:tcW w:w="851" w:type="dxa"/>
            <w:vAlign w:val="center"/>
          </w:tcPr>
          <w:p w14:paraId="41EA0732" w14:textId="066ED84C" w:rsidR="00080881" w:rsidRPr="008275B0" w:rsidRDefault="00080881" w:rsidP="00391462">
            <w:pPr>
              <w:pStyle w:val="af7"/>
              <w:jc w:val="center"/>
              <w:rPr>
                <w:rFonts w:eastAsia="Times New Roman"/>
                <w:bCs/>
              </w:rPr>
            </w:pPr>
            <w:r w:rsidRPr="008275B0">
              <w:t>95,8</w:t>
            </w:r>
          </w:p>
        </w:tc>
        <w:tc>
          <w:tcPr>
            <w:tcW w:w="850" w:type="dxa"/>
            <w:vAlign w:val="center"/>
          </w:tcPr>
          <w:p w14:paraId="4A22F164" w14:textId="4C61D028" w:rsidR="00080881" w:rsidRPr="008275B0" w:rsidRDefault="00080881" w:rsidP="00391462">
            <w:pPr>
              <w:pStyle w:val="af7"/>
              <w:jc w:val="center"/>
            </w:pPr>
            <w:r w:rsidRPr="008275B0">
              <w:t>96,3</w:t>
            </w:r>
          </w:p>
        </w:tc>
        <w:tc>
          <w:tcPr>
            <w:tcW w:w="843" w:type="dxa"/>
            <w:vAlign w:val="center"/>
          </w:tcPr>
          <w:p w14:paraId="39935635" w14:textId="5F7B6C57" w:rsidR="00080881" w:rsidRPr="008275B0" w:rsidRDefault="00080881" w:rsidP="00391462">
            <w:pPr>
              <w:pStyle w:val="af7"/>
              <w:jc w:val="center"/>
            </w:pPr>
            <w:r w:rsidRPr="008275B0">
              <w:t>96,6</w:t>
            </w:r>
          </w:p>
        </w:tc>
        <w:tc>
          <w:tcPr>
            <w:tcW w:w="717" w:type="dxa"/>
            <w:vAlign w:val="center"/>
          </w:tcPr>
          <w:p w14:paraId="645EF0AA" w14:textId="1CF82F55" w:rsidR="00080881" w:rsidRPr="008275B0" w:rsidRDefault="00080881" w:rsidP="00391462">
            <w:pPr>
              <w:pStyle w:val="af7"/>
              <w:jc w:val="center"/>
            </w:pPr>
            <w:r w:rsidRPr="008275B0">
              <w:t>96,8</w:t>
            </w:r>
          </w:p>
        </w:tc>
        <w:tc>
          <w:tcPr>
            <w:tcW w:w="759" w:type="dxa"/>
            <w:vAlign w:val="center"/>
          </w:tcPr>
          <w:p w14:paraId="2943998D" w14:textId="783C8EAA" w:rsidR="00080881" w:rsidRPr="008275B0" w:rsidRDefault="00080881" w:rsidP="00391462">
            <w:pPr>
              <w:pStyle w:val="af7"/>
              <w:jc w:val="center"/>
            </w:pPr>
            <w:r w:rsidRPr="008275B0">
              <w:t>97,1</w:t>
            </w:r>
          </w:p>
        </w:tc>
        <w:tc>
          <w:tcPr>
            <w:tcW w:w="792" w:type="dxa"/>
            <w:vAlign w:val="center"/>
          </w:tcPr>
          <w:p w14:paraId="2166905D" w14:textId="463A1834" w:rsidR="00080881" w:rsidRPr="008275B0" w:rsidRDefault="00080881" w:rsidP="00391462">
            <w:pPr>
              <w:pStyle w:val="af7"/>
              <w:jc w:val="center"/>
            </w:pPr>
            <w:r w:rsidRPr="008275B0">
              <w:t>97,1</w:t>
            </w:r>
          </w:p>
        </w:tc>
        <w:tc>
          <w:tcPr>
            <w:tcW w:w="717" w:type="dxa"/>
            <w:vAlign w:val="center"/>
          </w:tcPr>
          <w:p w14:paraId="76BD06F7" w14:textId="3DBF53E3" w:rsidR="00080881" w:rsidRPr="008275B0" w:rsidRDefault="00080881" w:rsidP="00391462">
            <w:pPr>
              <w:pStyle w:val="af7"/>
              <w:jc w:val="center"/>
            </w:pPr>
            <w:r w:rsidRPr="008275B0">
              <w:t>98,5</w:t>
            </w:r>
          </w:p>
        </w:tc>
        <w:tc>
          <w:tcPr>
            <w:tcW w:w="1842" w:type="dxa"/>
            <w:vMerge/>
            <w:vAlign w:val="center"/>
          </w:tcPr>
          <w:p w14:paraId="4CC12100" w14:textId="77777777" w:rsidR="00080881" w:rsidRPr="008275B0" w:rsidRDefault="00080881" w:rsidP="007B2F9D">
            <w:pPr>
              <w:pStyle w:val="af7"/>
            </w:pPr>
          </w:p>
        </w:tc>
      </w:tr>
      <w:tr w:rsidR="002F4AD5" w:rsidRPr="008275B0" w14:paraId="6B8E5543" w14:textId="77777777" w:rsidTr="002F4AD5">
        <w:trPr>
          <w:trHeight w:val="617"/>
        </w:trPr>
        <w:tc>
          <w:tcPr>
            <w:tcW w:w="706" w:type="dxa"/>
            <w:vAlign w:val="center"/>
          </w:tcPr>
          <w:p w14:paraId="11D306DE" w14:textId="2B88B664" w:rsidR="00080881" w:rsidRPr="008275B0" w:rsidRDefault="00080881" w:rsidP="007B2F9D">
            <w:pPr>
              <w:pStyle w:val="af7"/>
            </w:pPr>
            <w:r w:rsidRPr="008275B0">
              <w:t>3.6.</w:t>
            </w:r>
          </w:p>
        </w:tc>
        <w:tc>
          <w:tcPr>
            <w:tcW w:w="2418" w:type="dxa"/>
            <w:vAlign w:val="center"/>
          </w:tcPr>
          <w:p w14:paraId="67BB1B1C" w14:textId="36C9EAA7" w:rsidR="00080881" w:rsidRPr="008275B0" w:rsidRDefault="00080881" w:rsidP="007B2F9D">
            <w:pPr>
              <w:pStyle w:val="af7"/>
              <w:rPr>
                <w:bCs/>
              </w:rPr>
            </w:pPr>
            <w:r w:rsidRPr="008275B0">
              <w:t xml:space="preserve">Доля отремонтированных тепловых сетей от общей протяженности сетей </w:t>
            </w:r>
          </w:p>
        </w:tc>
        <w:tc>
          <w:tcPr>
            <w:tcW w:w="850" w:type="dxa"/>
            <w:vAlign w:val="center"/>
          </w:tcPr>
          <w:p w14:paraId="100BDE50" w14:textId="7B3BD7B7" w:rsidR="00080881" w:rsidRPr="008275B0" w:rsidRDefault="00080881" w:rsidP="00391462">
            <w:pPr>
              <w:pStyle w:val="af7"/>
              <w:jc w:val="center"/>
            </w:pPr>
            <w:r w:rsidRPr="008275B0">
              <w:t>%</w:t>
            </w:r>
          </w:p>
        </w:tc>
        <w:tc>
          <w:tcPr>
            <w:tcW w:w="851" w:type="dxa"/>
            <w:vAlign w:val="center"/>
          </w:tcPr>
          <w:p w14:paraId="325C4E13" w14:textId="41CF7986" w:rsidR="00080881" w:rsidRPr="008275B0" w:rsidRDefault="00080881" w:rsidP="00391462">
            <w:pPr>
              <w:pStyle w:val="af7"/>
              <w:jc w:val="center"/>
              <w:rPr>
                <w:rFonts w:eastAsia="Times New Roman"/>
                <w:bCs/>
                <w:color w:val="000000"/>
              </w:rPr>
            </w:pPr>
            <w:r w:rsidRPr="008275B0">
              <w:t>5,05</w:t>
            </w:r>
          </w:p>
        </w:tc>
        <w:tc>
          <w:tcPr>
            <w:tcW w:w="850" w:type="dxa"/>
            <w:vAlign w:val="center"/>
          </w:tcPr>
          <w:p w14:paraId="1A2BEC6C" w14:textId="4F75CED6" w:rsidR="00080881" w:rsidRPr="008275B0" w:rsidRDefault="00080881" w:rsidP="00391462">
            <w:pPr>
              <w:pStyle w:val="af7"/>
              <w:jc w:val="center"/>
            </w:pPr>
            <w:r w:rsidRPr="008275B0">
              <w:t>5,0</w:t>
            </w:r>
          </w:p>
        </w:tc>
        <w:tc>
          <w:tcPr>
            <w:tcW w:w="851" w:type="dxa"/>
            <w:vAlign w:val="center"/>
          </w:tcPr>
          <w:p w14:paraId="721C32C8" w14:textId="66CA0AA3" w:rsidR="00080881" w:rsidRPr="008275B0" w:rsidRDefault="00080881" w:rsidP="00391462">
            <w:pPr>
              <w:pStyle w:val="af7"/>
              <w:jc w:val="center"/>
            </w:pPr>
            <w:r w:rsidRPr="008275B0">
              <w:t>5,0</w:t>
            </w:r>
          </w:p>
        </w:tc>
        <w:tc>
          <w:tcPr>
            <w:tcW w:w="850" w:type="dxa"/>
            <w:vAlign w:val="center"/>
          </w:tcPr>
          <w:p w14:paraId="4B68A8A0" w14:textId="7006FA82" w:rsidR="00080881" w:rsidRPr="008275B0" w:rsidRDefault="00080881" w:rsidP="00391462">
            <w:pPr>
              <w:pStyle w:val="af7"/>
              <w:jc w:val="center"/>
            </w:pPr>
            <w:r w:rsidRPr="008275B0">
              <w:t>5,0</w:t>
            </w:r>
          </w:p>
        </w:tc>
        <w:tc>
          <w:tcPr>
            <w:tcW w:w="851" w:type="dxa"/>
            <w:vAlign w:val="center"/>
          </w:tcPr>
          <w:p w14:paraId="2219A395" w14:textId="7B140DF7" w:rsidR="00080881" w:rsidRPr="008275B0" w:rsidRDefault="00080881" w:rsidP="00391462">
            <w:pPr>
              <w:pStyle w:val="af7"/>
              <w:jc w:val="center"/>
            </w:pPr>
            <w:r w:rsidRPr="008275B0">
              <w:t>5,0</w:t>
            </w:r>
          </w:p>
        </w:tc>
        <w:tc>
          <w:tcPr>
            <w:tcW w:w="850" w:type="dxa"/>
            <w:vAlign w:val="center"/>
          </w:tcPr>
          <w:p w14:paraId="4CA55562" w14:textId="37AE377A" w:rsidR="00080881" w:rsidRPr="008275B0" w:rsidRDefault="00080881" w:rsidP="00391462">
            <w:pPr>
              <w:pStyle w:val="af7"/>
              <w:jc w:val="center"/>
            </w:pPr>
            <w:r w:rsidRPr="008275B0">
              <w:t>5,0</w:t>
            </w:r>
          </w:p>
        </w:tc>
        <w:tc>
          <w:tcPr>
            <w:tcW w:w="843" w:type="dxa"/>
            <w:vAlign w:val="center"/>
          </w:tcPr>
          <w:p w14:paraId="7DC96AA9" w14:textId="31931D4F" w:rsidR="00080881" w:rsidRPr="008275B0" w:rsidRDefault="00080881" w:rsidP="00391462">
            <w:pPr>
              <w:pStyle w:val="af7"/>
              <w:jc w:val="center"/>
            </w:pPr>
            <w:r w:rsidRPr="008275B0">
              <w:t>5,0</w:t>
            </w:r>
          </w:p>
        </w:tc>
        <w:tc>
          <w:tcPr>
            <w:tcW w:w="717" w:type="dxa"/>
            <w:vAlign w:val="center"/>
          </w:tcPr>
          <w:p w14:paraId="330DE256" w14:textId="73D83F4E" w:rsidR="00080881" w:rsidRPr="008275B0" w:rsidRDefault="00080881" w:rsidP="00391462">
            <w:pPr>
              <w:pStyle w:val="af7"/>
              <w:jc w:val="center"/>
            </w:pPr>
            <w:r w:rsidRPr="008275B0">
              <w:t>5,0</w:t>
            </w:r>
          </w:p>
        </w:tc>
        <w:tc>
          <w:tcPr>
            <w:tcW w:w="759" w:type="dxa"/>
            <w:vAlign w:val="center"/>
          </w:tcPr>
          <w:p w14:paraId="36B0CA58" w14:textId="4A018AD9" w:rsidR="00080881" w:rsidRPr="008275B0" w:rsidRDefault="00080881" w:rsidP="00391462">
            <w:pPr>
              <w:pStyle w:val="af7"/>
              <w:jc w:val="center"/>
            </w:pPr>
            <w:r w:rsidRPr="008275B0">
              <w:t>5,0</w:t>
            </w:r>
          </w:p>
        </w:tc>
        <w:tc>
          <w:tcPr>
            <w:tcW w:w="792" w:type="dxa"/>
            <w:vAlign w:val="center"/>
          </w:tcPr>
          <w:p w14:paraId="374F6849" w14:textId="383875E2" w:rsidR="00080881" w:rsidRPr="008275B0" w:rsidRDefault="00080881" w:rsidP="00391462">
            <w:pPr>
              <w:pStyle w:val="af7"/>
              <w:jc w:val="center"/>
            </w:pPr>
            <w:r w:rsidRPr="008275B0">
              <w:t>5,0</w:t>
            </w:r>
          </w:p>
        </w:tc>
        <w:tc>
          <w:tcPr>
            <w:tcW w:w="717" w:type="dxa"/>
            <w:vAlign w:val="center"/>
          </w:tcPr>
          <w:p w14:paraId="7C609BF2" w14:textId="690F2AC7" w:rsidR="00080881" w:rsidRPr="008275B0" w:rsidRDefault="00080881" w:rsidP="00391462">
            <w:pPr>
              <w:pStyle w:val="af7"/>
              <w:jc w:val="center"/>
            </w:pPr>
            <w:r w:rsidRPr="008275B0">
              <w:t>5,0</w:t>
            </w:r>
          </w:p>
        </w:tc>
        <w:tc>
          <w:tcPr>
            <w:tcW w:w="1842" w:type="dxa"/>
            <w:vMerge/>
            <w:vAlign w:val="center"/>
          </w:tcPr>
          <w:p w14:paraId="214B948B" w14:textId="77777777" w:rsidR="00080881" w:rsidRPr="008275B0" w:rsidRDefault="00080881" w:rsidP="007B2F9D">
            <w:pPr>
              <w:pStyle w:val="af7"/>
            </w:pPr>
          </w:p>
        </w:tc>
      </w:tr>
      <w:tr w:rsidR="002F4AD5" w:rsidRPr="008275B0" w14:paraId="7C6908AC" w14:textId="77777777" w:rsidTr="002F4AD5">
        <w:trPr>
          <w:trHeight w:val="617"/>
        </w:trPr>
        <w:tc>
          <w:tcPr>
            <w:tcW w:w="706" w:type="dxa"/>
            <w:vAlign w:val="center"/>
          </w:tcPr>
          <w:p w14:paraId="2BEC0B72" w14:textId="05E8FFAB" w:rsidR="00080881" w:rsidRPr="008275B0" w:rsidRDefault="00080881" w:rsidP="007B2F9D">
            <w:pPr>
              <w:pStyle w:val="af7"/>
            </w:pPr>
            <w:r w:rsidRPr="008275B0">
              <w:t>3.7.</w:t>
            </w:r>
          </w:p>
        </w:tc>
        <w:tc>
          <w:tcPr>
            <w:tcW w:w="2418" w:type="dxa"/>
            <w:vAlign w:val="center"/>
          </w:tcPr>
          <w:p w14:paraId="197FEEDB" w14:textId="56A501C3" w:rsidR="00080881" w:rsidRPr="008275B0" w:rsidRDefault="00080881" w:rsidP="007B2F9D">
            <w:pPr>
              <w:pStyle w:val="af7"/>
              <w:rPr>
                <w:bCs/>
              </w:rPr>
            </w:pPr>
            <w:r w:rsidRPr="008275B0">
              <w:t xml:space="preserve">Доля отремонтированных водопроводных сетей от общей протяженности сетей </w:t>
            </w:r>
          </w:p>
        </w:tc>
        <w:tc>
          <w:tcPr>
            <w:tcW w:w="850" w:type="dxa"/>
            <w:vAlign w:val="center"/>
          </w:tcPr>
          <w:p w14:paraId="5BFB0440" w14:textId="134169FD" w:rsidR="00080881" w:rsidRPr="008275B0" w:rsidRDefault="00080881" w:rsidP="00391462">
            <w:pPr>
              <w:pStyle w:val="af7"/>
              <w:jc w:val="center"/>
            </w:pPr>
            <w:r w:rsidRPr="008275B0">
              <w:t>%</w:t>
            </w:r>
          </w:p>
        </w:tc>
        <w:tc>
          <w:tcPr>
            <w:tcW w:w="851" w:type="dxa"/>
            <w:vAlign w:val="center"/>
          </w:tcPr>
          <w:p w14:paraId="47DEEA09" w14:textId="4F8BC1B6" w:rsidR="00080881" w:rsidRPr="008275B0" w:rsidRDefault="00080881" w:rsidP="00391462">
            <w:pPr>
              <w:pStyle w:val="af7"/>
              <w:jc w:val="center"/>
              <w:rPr>
                <w:rFonts w:eastAsia="Times New Roman"/>
                <w:bCs/>
                <w:color w:val="000000"/>
              </w:rPr>
            </w:pPr>
            <w:r w:rsidRPr="008275B0">
              <w:t>4,0</w:t>
            </w:r>
          </w:p>
        </w:tc>
        <w:tc>
          <w:tcPr>
            <w:tcW w:w="850" w:type="dxa"/>
            <w:vAlign w:val="center"/>
          </w:tcPr>
          <w:p w14:paraId="4DC52C7E" w14:textId="3F9342CD" w:rsidR="00080881" w:rsidRPr="008275B0" w:rsidRDefault="00080881" w:rsidP="00391462">
            <w:pPr>
              <w:pStyle w:val="af7"/>
              <w:jc w:val="center"/>
            </w:pPr>
            <w:r w:rsidRPr="008275B0">
              <w:t>5,0</w:t>
            </w:r>
          </w:p>
        </w:tc>
        <w:tc>
          <w:tcPr>
            <w:tcW w:w="851" w:type="dxa"/>
            <w:vAlign w:val="center"/>
          </w:tcPr>
          <w:p w14:paraId="0FD85891" w14:textId="25A89C5F" w:rsidR="00080881" w:rsidRPr="008275B0" w:rsidRDefault="00080881" w:rsidP="00391462">
            <w:pPr>
              <w:pStyle w:val="af7"/>
              <w:jc w:val="center"/>
            </w:pPr>
            <w:r w:rsidRPr="008275B0">
              <w:t>5,0</w:t>
            </w:r>
          </w:p>
        </w:tc>
        <w:tc>
          <w:tcPr>
            <w:tcW w:w="850" w:type="dxa"/>
            <w:vAlign w:val="center"/>
          </w:tcPr>
          <w:p w14:paraId="43543F28" w14:textId="5083AE7E" w:rsidR="00080881" w:rsidRPr="008275B0" w:rsidRDefault="00080881" w:rsidP="00391462">
            <w:pPr>
              <w:pStyle w:val="af7"/>
              <w:jc w:val="center"/>
            </w:pPr>
            <w:r w:rsidRPr="008275B0">
              <w:t>5,0</w:t>
            </w:r>
          </w:p>
        </w:tc>
        <w:tc>
          <w:tcPr>
            <w:tcW w:w="851" w:type="dxa"/>
            <w:vAlign w:val="center"/>
          </w:tcPr>
          <w:p w14:paraId="2048B3B8" w14:textId="0919F18C" w:rsidR="00080881" w:rsidRPr="008275B0" w:rsidRDefault="00080881" w:rsidP="00391462">
            <w:pPr>
              <w:pStyle w:val="af7"/>
              <w:jc w:val="center"/>
            </w:pPr>
            <w:r w:rsidRPr="008275B0">
              <w:t>5,0</w:t>
            </w:r>
          </w:p>
        </w:tc>
        <w:tc>
          <w:tcPr>
            <w:tcW w:w="850" w:type="dxa"/>
            <w:vAlign w:val="center"/>
          </w:tcPr>
          <w:p w14:paraId="20235A6F" w14:textId="51AF8DB5" w:rsidR="00080881" w:rsidRPr="008275B0" w:rsidRDefault="00080881" w:rsidP="00391462">
            <w:pPr>
              <w:pStyle w:val="af7"/>
              <w:jc w:val="center"/>
            </w:pPr>
            <w:r w:rsidRPr="008275B0">
              <w:t>5,0</w:t>
            </w:r>
          </w:p>
        </w:tc>
        <w:tc>
          <w:tcPr>
            <w:tcW w:w="843" w:type="dxa"/>
            <w:vAlign w:val="center"/>
          </w:tcPr>
          <w:p w14:paraId="07511DD5" w14:textId="56DC4433" w:rsidR="00080881" w:rsidRPr="008275B0" w:rsidRDefault="00080881" w:rsidP="00391462">
            <w:pPr>
              <w:pStyle w:val="af7"/>
              <w:jc w:val="center"/>
            </w:pPr>
            <w:r w:rsidRPr="008275B0">
              <w:t>5,0</w:t>
            </w:r>
          </w:p>
        </w:tc>
        <w:tc>
          <w:tcPr>
            <w:tcW w:w="717" w:type="dxa"/>
            <w:vAlign w:val="center"/>
          </w:tcPr>
          <w:p w14:paraId="4DF22F1F" w14:textId="5B31447F" w:rsidR="00080881" w:rsidRPr="008275B0" w:rsidRDefault="00080881" w:rsidP="00391462">
            <w:pPr>
              <w:pStyle w:val="af7"/>
              <w:jc w:val="center"/>
            </w:pPr>
            <w:r w:rsidRPr="008275B0">
              <w:t>5,0</w:t>
            </w:r>
          </w:p>
        </w:tc>
        <w:tc>
          <w:tcPr>
            <w:tcW w:w="759" w:type="dxa"/>
            <w:vAlign w:val="center"/>
          </w:tcPr>
          <w:p w14:paraId="5F06A1AF" w14:textId="0C1DB287" w:rsidR="00080881" w:rsidRPr="008275B0" w:rsidRDefault="00080881" w:rsidP="00391462">
            <w:pPr>
              <w:pStyle w:val="af7"/>
              <w:jc w:val="center"/>
            </w:pPr>
            <w:r w:rsidRPr="008275B0">
              <w:t>5,0</w:t>
            </w:r>
          </w:p>
        </w:tc>
        <w:tc>
          <w:tcPr>
            <w:tcW w:w="792" w:type="dxa"/>
            <w:vAlign w:val="center"/>
          </w:tcPr>
          <w:p w14:paraId="1C75A638" w14:textId="6A569837" w:rsidR="00080881" w:rsidRPr="008275B0" w:rsidRDefault="00080881" w:rsidP="00391462">
            <w:pPr>
              <w:pStyle w:val="af7"/>
              <w:jc w:val="center"/>
            </w:pPr>
            <w:r w:rsidRPr="008275B0">
              <w:t>5,0</w:t>
            </w:r>
          </w:p>
        </w:tc>
        <w:tc>
          <w:tcPr>
            <w:tcW w:w="717" w:type="dxa"/>
            <w:vAlign w:val="center"/>
          </w:tcPr>
          <w:p w14:paraId="68767E8B" w14:textId="171A7882" w:rsidR="00080881" w:rsidRPr="008275B0" w:rsidRDefault="00080881" w:rsidP="00391462">
            <w:pPr>
              <w:pStyle w:val="af7"/>
              <w:jc w:val="center"/>
            </w:pPr>
            <w:r w:rsidRPr="008275B0">
              <w:t>5,0</w:t>
            </w:r>
          </w:p>
        </w:tc>
        <w:tc>
          <w:tcPr>
            <w:tcW w:w="1842" w:type="dxa"/>
            <w:vMerge/>
            <w:vAlign w:val="center"/>
          </w:tcPr>
          <w:p w14:paraId="24E19049" w14:textId="77777777" w:rsidR="00080881" w:rsidRPr="008275B0" w:rsidRDefault="00080881" w:rsidP="007B2F9D">
            <w:pPr>
              <w:pStyle w:val="af7"/>
            </w:pPr>
          </w:p>
        </w:tc>
      </w:tr>
      <w:tr w:rsidR="002F4AD5" w:rsidRPr="008275B0" w14:paraId="567089D8" w14:textId="77777777" w:rsidTr="002F4AD5">
        <w:trPr>
          <w:trHeight w:val="617"/>
        </w:trPr>
        <w:tc>
          <w:tcPr>
            <w:tcW w:w="706" w:type="dxa"/>
            <w:vAlign w:val="center"/>
          </w:tcPr>
          <w:p w14:paraId="78BE43D3" w14:textId="6D8DD6BC" w:rsidR="00080881" w:rsidRPr="008275B0" w:rsidRDefault="00080881" w:rsidP="007B2F9D">
            <w:pPr>
              <w:pStyle w:val="af7"/>
            </w:pPr>
            <w:r w:rsidRPr="008275B0">
              <w:t>3.8.</w:t>
            </w:r>
          </w:p>
        </w:tc>
        <w:tc>
          <w:tcPr>
            <w:tcW w:w="2418" w:type="dxa"/>
            <w:vAlign w:val="center"/>
          </w:tcPr>
          <w:p w14:paraId="363CFCF9" w14:textId="7573DD62" w:rsidR="00080881" w:rsidRPr="008275B0" w:rsidRDefault="00080881" w:rsidP="007B2F9D">
            <w:pPr>
              <w:pStyle w:val="af7"/>
              <w:rPr>
                <w:bCs/>
              </w:rPr>
            </w:pPr>
            <w:r w:rsidRPr="008275B0">
              <w:t xml:space="preserve">Доля отремонтированных канализационных сетей от общей протяженности сетей </w:t>
            </w:r>
          </w:p>
        </w:tc>
        <w:tc>
          <w:tcPr>
            <w:tcW w:w="850" w:type="dxa"/>
            <w:vAlign w:val="center"/>
          </w:tcPr>
          <w:p w14:paraId="5CC1B818" w14:textId="7900F8CD" w:rsidR="00080881" w:rsidRPr="008275B0" w:rsidRDefault="00080881" w:rsidP="00391462">
            <w:pPr>
              <w:pStyle w:val="af7"/>
              <w:jc w:val="center"/>
            </w:pPr>
            <w:r w:rsidRPr="008275B0">
              <w:t>%</w:t>
            </w:r>
          </w:p>
        </w:tc>
        <w:tc>
          <w:tcPr>
            <w:tcW w:w="851" w:type="dxa"/>
            <w:vAlign w:val="center"/>
          </w:tcPr>
          <w:p w14:paraId="0EC0502E" w14:textId="3555C895" w:rsidR="00080881" w:rsidRPr="008275B0" w:rsidRDefault="00080881" w:rsidP="00391462">
            <w:pPr>
              <w:pStyle w:val="af7"/>
              <w:jc w:val="center"/>
              <w:rPr>
                <w:rFonts w:eastAsia="Times New Roman"/>
                <w:bCs/>
                <w:color w:val="000000"/>
              </w:rPr>
            </w:pPr>
            <w:r w:rsidRPr="008275B0">
              <w:t>0,25</w:t>
            </w:r>
          </w:p>
        </w:tc>
        <w:tc>
          <w:tcPr>
            <w:tcW w:w="850" w:type="dxa"/>
            <w:vAlign w:val="center"/>
          </w:tcPr>
          <w:p w14:paraId="02D0B7ED" w14:textId="36FCDC90" w:rsidR="00080881" w:rsidRPr="008275B0" w:rsidRDefault="00080881" w:rsidP="00391462">
            <w:pPr>
              <w:pStyle w:val="af7"/>
              <w:jc w:val="center"/>
            </w:pPr>
            <w:r w:rsidRPr="008275B0">
              <w:t>5,0</w:t>
            </w:r>
          </w:p>
        </w:tc>
        <w:tc>
          <w:tcPr>
            <w:tcW w:w="851" w:type="dxa"/>
            <w:vAlign w:val="center"/>
          </w:tcPr>
          <w:p w14:paraId="68752D08" w14:textId="0AA39E3A" w:rsidR="00080881" w:rsidRPr="008275B0" w:rsidRDefault="00080881" w:rsidP="00391462">
            <w:pPr>
              <w:pStyle w:val="af7"/>
              <w:jc w:val="center"/>
            </w:pPr>
            <w:r w:rsidRPr="008275B0">
              <w:t>5,0</w:t>
            </w:r>
          </w:p>
        </w:tc>
        <w:tc>
          <w:tcPr>
            <w:tcW w:w="850" w:type="dxa"/>
            <w:vAlign w:val="center"/>
          </w:tcPr>
          <w:p w14:paraId="4DF6B9D2" w14:textId="41F9C287" w:rsidR="00080881" w:rsidRPr="008275B0" w:rsidRDefault="00080881" w:rsidP="00391462">
            <w:pPr>
              <w:pStyle w:val="af7"/>
              <w:jc w:val="center"/>
            </w:pPr>
            <w:r w:rsidRPr="008275B0">
              <w:t>5,0</w:t>
            </w:r>
          </w:p>
        </w:tc>
        <w:tc>
          <w:tcPr>
            <w:tcW w:w="851" w:type="dxa"/>
            <w:vAlign w:val="center"/>
          </w:tcPr>
          <w:p w14:paraId="1C2CAFF4" w14:textId="1207BD52" w:rsidR="00080881" w:rsidRPr="008275B0" w:rsidRDefault="00080881" w:rsidP="00391462">
            <w:pPr>
              <w:pStyle w:val="af7"/>
              <w:jc w:val="center"/>
            </w:pPr>
            <w:r w:rsidRPr="008275B0">
              <w:t>5,0</w:t>
            </w:r>
          </w:p>
        </w:tc>
        <w:tc>
          <w:tcPr>
            <w:tcW w:w="850" w:type="dxa"/>
            <w:vAlign w:val="center"/>
          </w:tcPr>
          <w:p w14:paraId="7966E79A" w14:textId="108D0AF9" w:rsidR="00080881" w:rsidRPr="008275B0" w:rsidRDefault="00080881" w:rsidP="00391462">
            <w:pPr>
              <w:pStyle w:val="af7"/>
              <w:jc w:val="center"/>
            </w:pPr>
            <w:r w:rsidRPr="008275B0">
              <w:t>5,0</w:t>
            </w:r>
          </w:p>
        </w:tc>
        <w:tc>
          <w:tcPr>
            <w:tcW w:w="843" w:type="dxa"/>
            <w:vAlign w:val="center"/>
          </w:tcPr>
          <w:p w14:paraId="7BCFE61E" w14:textId="0DEABB4A" w:rsidR="00080881" w:rsidRPr="008275B0" w:rsidRDefault="00080881" w:rsidP="00391462">
            <w:pPr>
              <w:pStyle w:val="af7"/>
              <w:jc w:val="center"/>
            </w:pPr>
            <w:r w:rsidRPr="008275B0">
              <w:t>5,0</w:t>
            </w:r>
          </w:p>
        </w:tc>
        <w:tc>
          <w:tcPr>
            <w:tcW w:w="717" w:type="dxa"/>
            <w:vAlign w:val="center"/>
          </w:tcPr>
          <w:p w14:paraId="71BC11BE" w14:textId="011FCEA4" w:rsidR="00080881" w:rsidRPr="008275B0" w:rsidRDefault="00080881" w:rsidP="00391462">
            <w:pPr>
              <w:pStyle w:val="af7"/>
              <w:jc w:val="center"/>
            </w:pPr>
            <w:r w:rsidRPr="008275B0">
              <w:t>5,0</w:t>
            </w:r>
          </w:p>
        </w:tc>
        <w:tc>
          <w:tcPr>
            <w:tcW w:w="759" w:type="dxa"/>
            <w:vAlign w:val="center"/>
          </w:tcPr>
          <w:p w14:paraId="5701A82C" w14:textId="3C472B5E" w:rsidR="00080881" w:rsidRPr="008275B0" w:rsidRDefault="00080881" w:rsidP="00391462">
            <w:pPr>
              <w:pStyle w:val="af7"/>
              <w:jc w:val="center"/>
            </w:pPr>
            <w:r w:rsidRPr="008275B0">
              <w:t>5,0</w:t>
            </w:r>
          </w:p>
        </w:tc>
        <w:tc>
          <w:tcPr>
            <w:tcW w:w="792" w:type="dxa"/>
            <w:vAlign w:val="center"/>
          </w:tcPr>
          <w:p w14:paraId="759D8D74" w14:textId="11577B10" w:rsidR="00080881" w:rsidRPr="008275B0" w:rsidRDefault="00080881" w:rsidP="00391462">
            <w:pPr>
              <w:pStyle w:val="af7"/>
              <w:jc w:val="center"/>
            </w:pPr>
            <w:r w:rsidRPr="008275B0">
              <w:t>5,0</w:t>
            </w:r>
          </w:p>
        </w:tc>
        <w:tc>
          <w:tcPr>
            <w:tcW w:w="717" w:type="dxa"/>
            <w:vAlign w:val="center"/>
          </w:tcPr>
          <w:p w14:paraId="38488371" w14:textId="6418BF72" w:rsidR="00080881" w:rsidRPr="008275B0" w:rsidRDefault="00080881" w:rsidP="00391462">
            <w:pPr>
              <w:pStyle w:val="af7"/>
              <w:jc w:val="center"/>
            </w:pPr>
            <w:r w:rsidRPr="008275B0">
              <w:t>5,0</w:t>
            </w:r>
          </w:p>
        </w:tc>
        <w:tc>
          <w:tcPr>
            <w:tcW w:w="1842" w:type="dxa"/>
            <w:vMerge/>
            <w:vAlign w:val="center"/>
          </w:tcPr>
          <w:p w14:paraId="50E759E5" w14:textId="77777777" w:rsidR="00080881" w:rsidRPr="008275B0" w:rsidRDefault="00080881" w:rsidP="007B2F9D">
            <w:pPr>
              <w:pStyle w:val="af7"/>
            </w:pPr>
          </w:p>
        </w:tc>
      </w:tr>
      <w:tr w:rsidR="002F4AD5" w:rsidRPr="008275B0" w14:paraId="5FC1311C" w14:textId="77777777" w:rsidTr="002F4AD5">
        <w:trPr>
          <w:trHeight w:val="617"/>
        </w:trPr>
        <w:tc>
          <w:tcPr>
            <w:tcW w:w="706" w:type="dxa"/>
            <w:vAlign w:val="center"/>
          </w:tcPr>
          <w:p w14:paraId="1AF3E0AF" w14:textId="24755FD1" w:rsidR="00080881" w:rsidRPr="008275B0" w:rsidRDefault="00080881" w:rsidP="007B2F9D">
            <w:pPr>
              <w:pStyle w:val="af7"/>
            </w:pPr>
            <w:r w:rsidRPr="008275B0">
              <w:t>3.9.</w:t>
            </w:r>
          </w:p>
        </w:tc>
        <w:tc>
          <w:tcPr>
            <w:tcW w:w="2418" w:type="dxa"/>
            <w:vAlign w:val="center"/>
          </w:tcPr>
          <w:p w14:paraId="18FF5B4A" w14:textId="45E9A1E1" w:rsidR="00080881" w:rsidRPr="008275B0" w:rsidRDefault="00080881" w:rsidP="007B2F9D">
            <w:pPr>
              <w:pStyle w:val="af7"/>
              <w:rPr>
                <w:rFonts w:eastAsia="Times New Roman"/>
                <w:bCs/>
                <w:color w:val="000000"/>
              </w:rPr>
            </w:pPr>
            <w:r w:rsidRPr="008275B0">
              <w:t>Объем жилищных услуг, представляемых населению</w:t>
            </w:r>
          </w:p>
        </w:tc>
        <w:tc>
          <w:tcPr>
            <w:tcW w:w="850" w:type="dxa"/>
            <w:vAlign w:val="center"/>
          </w:tcPr>
          <w:p w14:paraId="175DE4D3" w14:textId="2EF3FD1F" w:rsidR="00080881" w:rsidRPr="008275B0" w:rsidRDefault="00080881" w:rsidP="00391462">
            <w:pPr>
              <w:pStyle w:val="af7"/>
              <w:jc w:val="center"/>
              <w:rPr>
                <w:rFonts w:eastAsia="Times New Roman"/>
                <w:bCs/>
                <w:color w:val="000000"/>
              </w:rPr>
            </w:pPr>
            <w:r w:rsidRPr="008275B0">
              <w:t>млн. рублей</w:t>
            </w:r>
          </w:p>
        </w:tc>
        <w:tc>
          <w:tcPr>
            <w:tcW w:w="851" w:type="dxa"/>
            <w:vAlign w:val="center"/>
          </w:tcPr>
          <w:p w14:paraId="08203C50" w14:textId="76ABB1DF" w:rsidR="00080881" w:rsidRPr="008275B0" w:rsidRDefault="00080881" w:rsidP="00391462">
            <w:pPr>
              <w:pStyle w:val="af7"/>
              <w:jc w:val="center"/>
              <w:rPr>
                <w:bCs/>
              </w:rPr>
            </w:pPr>
            <w:r w:rsidRPr="008275B0">
              <w:t>165,9</w:t>
            </w:r>
          </w:p>
        </w:tc>
        <w:tc>
          <w:tcPr>
            <w:tcW w:w="850" w:type="dxa"/>
            <w:vAlign w:val="center"/>
          </w:tcPr>
          <w:p w14:paraId="57B66B61" w14:textId="5CA803CB" w:rsidR="00080881" w:rsidRPr="008275B0" w:rsidRDefault="00080881" w:rsidP="00391462">
            <w:pPr>
              <w:pStyle w:val="af7"/>
              <w:jc w:val="center"/>
              <w:rPr>
                <w:bCs/>
              </w:rPr>
            </w:pPr>
            <w:r w:rsidRPr="008275B0">
              <w:t>177,6</w:t>
            </w:r>
          </w:p>
        </w:tc>
        <w:tc>
          <w:tcPr>
            <w:tcW w:w="851" w:type="dxa"/>
            <w:vAlign w:val="center"/>
          </w:tcPr>
          <w:p w14:paraId="20C3455A" w14:textId="34A65D69" w:rsidR="00080881" w:rsidRPr="008275B0" w:rsidRDefault="00080881" w:rsidP="00391462">
            <w:pPr>
              <w:pStyle w:val="af7"/>
              <w:jc w:val="center"/>
            </w:pPr>
            <w:r w:rsidRPr="008275B0">
              <w:t>186,5</w:t>
            </w:r>
          </w:p>
        </w:tc>
        <w:tc>
          <w:tcPr>
            <w:tcW w:w="850" w:type="dxa"/>
            <w:vAlign w:val="center"/>
          </w:tcPr>
          <w:p w14:paraId="73C341BA" w14:textId="6D5A56BD" w:rsidR="00080881" w:rsidRPr="008275B0" w:rsidRDefault="00080881" w:rsidP="00391462">
            <w:pPr>
              <w:pStyle w:val="af7"/>
              <w:jc w:val="center"/>
            </w:pPr>
            <w:r w:rsidRPr="008275B0">
              <w:t>195,8</w:t>
            </w:r>
          </w:p>
        </w:tc>
        <w:tc>
          <w:tcPr>
            <w:tcW w:w="851" w:type="dxa"/>
            <w:vAlign w:val="center"/>
          </w:tcPr>
          <w:p w14:paraId="0C42496C" w14:textId="51ABACC2" w:rsidR="00080881" w:rsidRPr="008275B0" w:rsidRDefault="00080881" w:rsidP="00391462">
            <w:pPr>
              <w:pStyle w:val="af7"/>
              <w:jc w:val="center"/>
              <w:rPr>
                <w:bCs/>
              </w:rPr>
            </w:pPr>
            <w:r w:rsidRPr="008275B0">
              <w:t>205,6</w:t>
            </w:r>
          </w:p>
        </w:tc>
        <w:tc>
          <w:tcPr>
            <w:tcW w:w="850" w:type="dxa"/>
            <w:vAlign w:val="center"/>
          </w:tcPr>
          <w:p w14:paraId="66077E43" w14:textId="67B6B3D7" w:rsidR="00080881" w:rsidRPr="008275B0" w:rsidRDefault="00080881" w:rsidP="00391462">
            <w:pPr>
              <w:pStyle w:val="af7"/>
              <w:jc w:val="center"/>
              <w:rPr>
                <w:bCs/>
              </w:rPr>
            </w:pPr>
            <w:r w:rsidRPr="008275B0">
              <w:t>215,9</w:t>
            </w:r>
          </w:p>
        </w:tc>
        <w:tc>
          <w:tcPr>
            <w:tcW w:w="843" w:type="dxa"/>
            <w:vAlign w:val="center"/>
          </w:tcPr>
          <w:p w14:paraId="4883BBDD" w14:textId="0CD47DDE" w:rsidR="00080881" w:rsidRPr="008275B0" w:rsidRDefault="00080881" w:rsidP="00391462">
            <w:pPr>
              <w:pStyle w:val="af7"/>
              <w:jc w:val="center"/>
            </w:pPr>
            <w:r w:rsidRPr="008275B0">
              <w:t>226,7</w:t>
            </w:r>
          </w:p>
        </w:tc>
        <w:tc>
          <w:tcPr>
            <w:tcW w:w="717" w:type="dxa"/>
            <w:vAlign w:val="center"/>
          </w:tcPr>
          <w:p w14:paraId="00CAD9DE" w14:textId="05B66327" w:rsidR="00080881" w:rsidRPr="008275B0" w:rsidRDefault="00080881" w:rsidP="00391462">
            <w:pPr>
              <w:pStyle w:val="af7"/>
              <w:jc w:val="center"/>
              <w:rPr>
                <w:bCs/>
              </w:rPr>
            </w:pPr>
            <w:r w:rsidRPr="008275B0">
              <w:t>238,0</w:t>
            </w:r>
          </w:p>
        </w:tc>
        <w:tc>
          <w:tcPr>
            <w:tcW w:w="759" w:type="dxa"/>
            <w:vAlign w:val="center"/>
          </w:tcPr>
          <w:p w14:paraId="0114BF31" w14:textId="306D3586" w:rsidR="00080881" w:rsidRPr="008275B0" w:rsidRDefault="00080881" w:rsidP="00391462">
            <w:pPr>
              <w:pStyle w:val="af7"/>
              <w:jc w:val="center"/>
              <w:rPr>
                <w:bCs/>
              </w:rPr>
            </w:pPr>
            <w:r w:rsidRPr="008275B0">
              <w:t>249,9</w:t>
            </w:r>
          </w:p>
        </w:tc>
        <w:tc>
          <w:tcPr>
            <w:tcW w:w="792" w:type="dxa"/>
            <w:vAlign w:val="center"/>
          </w:tcPr>
          <w:p w14:paraId="13F76E5B" w14:textId="05B327E3" w:rsidR="00080881" w:rsidRPr="008275B0" w:rsidRDefault="00080881" w:rsidP="00391462">
            <w:pPr>
              <w:pStyle w:val="af7"/>
              <w:jc w:val="center"/>
              <w:rPr>
                <w:bCs/>
              </w:rPr>
            </w:pPr>
            <w:r w:rsidRPr="008275B0">
              <w:t>262,4</w:t>
            </w:r>
          </w:p>
        </w:tc>
        <w:tc>
          <w:tcPr>
            <w:tcW w:w="717" w:type="dxa"/>
            <w:vAlign w:val="center"/>
          </w:tcPr>
          <w:p w14:paraId="165156D6" w14:textId="4057EE44" w:rsidR="00080881" w:rsidRPr="008275B0" w:rsidRDefault="00080881" w:rsidP="00391462">
            <w:pPr>
              <w:pStyle w:val="af7"/>
              <w:jc w:val="center"/>
            </w:pPr>
            <w:r w:rsidRPr="008275B0">
              <w:t>334,9</w:t>
            </w:r>
          </w:p>
        </w:tc>
        <w:tc>
          <w:tcPr>
            <w:tcW w:w="1842" w:type="dxa"/>
            <w:vMerge/>
            <w:vAlign w:val="center"/>
          </w:tcPr>
          <w:p w14:paraId="497D1CA8" w14:textId="77777777" w:rsidR="00080881" w:rsidRPr="008275B0" w:rsidRDefault="00080881" w:rsidP="007B2F9D">
            <w:pPr>
              <w:pStyle w:val="af7"/>
            </w:pPr>
          </w:p>
        </w:tc>
      </w:tr>
      <w:tr w:rsidR="002F4AD5" w:rsidRPr="008275B0" w14:paraId="6FB613B0" w14:textId="77777777" w:rsidTr="002F4AD5">
        <w:trPr>
          <w:trHeight w:val="617"/>
        </w:trPr>
        <w:tc>
          <w:tcPr>
            <w:tcW w:w="706" w:type="dxa"/>
            <w:vAlign w:val="center"/>
          </w:tcPr>
          <w:p w14:paraId="3B490D1D" w14:textId="0EB7BF1D" w:rsidR="00080881" w:rsidRPr="008275B0" w:rsidRDefault="00080881" w:rsidP="007B2F9D">
            <w:pPr>
              <w:pStyle w:val="af7"/>
            </w:pPr>
            <w:r w:rsidRPr="008275B0">
              <w:t>3.10.</w:t>
            </w:r>
          </w:p>
        </w:tc>
        <w:tc>
          <w:tcPr>
            <w:tcW w:w="2418" w:type="dxa"/>
            <w:vAlign w:val="center"/>
          </w:tcPr>
          <w:p w14:paraId="7C88F6E9" w14:textId="3A2B67D2" w:rsidR="00080881" w:rsidRPr="008275B0" w:rsidRDefault="00080881" w:rsidP="007B2F9D">
            <w:pPr>
              <w:pStyle w:val="af7"/>
              <w:rPr>
                <w:rFonts w:eastAsia="Times New Roman"/>
                <w:bCs/>
                <w:color w:val="000000"/>
              </w:rPr>
            </w:pPr>
            <w:r w:rsidRPr="008275B0">
              <w:t>Объем коммунальных услуг, предоставляемых населению</w:t>
            </w:r>
          </w:p>
        </w:tc>
        <w:tc>
          <w:tcPr>
            <w:tcW w:w="850" w:type="dxa"/>
            <w:vAlign w:val="center"/>
          </w:tcPr>
          <w:p w14:paraId="2D753FA2" w14:textId="2E3AA42E" w:rsidR="00080881" w:rsidRPr="008275B0" w:rsidRDefault="00080881" w:rsidP="00391462">
            <w:pPr>
              <w:pStyle w:val="af7"/>
              <w:jc w:val="center"/>
              <w:rPr>
                <w:rFonts w:eastAsia="Times New Roman"/>
                <w:bCs/>
                <w:color w:val="000000"/>
              </w:rPr>
            </w:pPr>
            <w:r w:rsidRPr="008275B0">
              <w:t>млн. рублей</w:t>
            </w:r>
          </w:p>
        </w:tc>
        <w:tc>
          <w:tcPr>
            <w:tcW w:w="851" w:type="dxa"/>
            <w:vAlign w:val="center"/>
          </w:tcPr>
          <w:p w14:paraId="0616EE6A" w14:textId="13CD5B5C" w:rsidR="00080881" w:rsidRPr="008275B0" w:rsidRDefault="00080881" w:rsidP="00391462">
            <w:pPr>
              <w:pStyle w:val="af7"/>
              <w:jc w:val="center"/>
              <w:rPr>
                <w:bCs/>
              </w:rPr>
            </w:pPr>
            <w:r w:rsidRPr="008275B0">
              <w:t>694,2</w:t>
            </w:r>
          </w:p>
        </w:tc>
        <w:tc>
          <w:tcPr>
            <w:tcW w:w="850" w:type="dxa"/>
            <w:vAlign w:val="center"/>
          </w:tcPr>
          <w:p w14:paraId="38C513B4" w14:textId="70260246" w:rsidR="00080881" w:rsidRPr="008275B0" w:rsidRDefault="00080881" w:rsidP="00391462">
            <w:pPr>
              <w:pStyle w:val="af7"/>
              <w:jc w:val="center"/>
              <w:rPr>
                <w:bCs/>
              </w:rPr>
            </w:pPr>
            <w:r w:rsidRPr="008275B0">
              <w:t>728,9</w:t>
            </w:r>
          </w:p>
        </w:tc>
        <w:tc>
          <w:tcPr>
            <w:tcW w:w="851" w:type="dxa"/>
            <w:vAlign w:val="center"/>
          </w:tcPr>
          <w:p w14:paraId="35C7FD59" w14:textId="7D32396D" w:rsidR="00080881" w:rsidRPr="008275B0" w:rsidRDefault="00080881" w:rsidP="00391462">
            <w:pPr>
              <w:pStyle w:val="af7"/>
              <w:jc w:val="center"/>
            </w:pPr>
            <w:r w:rsidRPr="008275B0">
              <w:t>765,3</w:t>
            </w:r>
          </w:p>
        </w:tc>
        <w:tc>
          <w:tcPr>
            <w:tcW w:w="850" w:type="dxa"/>
            <w:vAlign w:val="center"/>
          </w:tcPr>
          <w:p w14:paraId="1012FB99" w14:textId="0AD21080" w:rsidR="00080881" w:rsidRPr="008275B0" w:rsidRDefault="00080881" w:rsidP="00391462">
            <w:pPr>
              <w:pStyle w:val="af7"/>
              <w:jc w:val="center"/>
            </w:pPr>
            <w:r w:rsidRPr="008275B0">
              <w:t>803,6</w:t>
            </w:r>
          </w:p>
        </w:tc>
        <w:tc>
          <w:tcPr>
            <w:tcW w:w="851" w:type="dxa"/>
            <w:vAlign w:val="center"/>
          </w:tcPr>
          <w:p w14:paraId="7B91A6E5" w14:textId="3395B065" w:rsidR="00080881" w:rsidRPr="008275B0" w:rsidRDefault="00080881" w:rsidP="00391462">
            <w:pPr>
              <w:pStyle w:val="af7"/>
              <w:jc w:val="center"/>
              <w:rPr>
                <w:bCs/>
              </w:rPr>
            </w:pPr>
            <w:r w:rsidRPr="008275B0">
              <w:t>843,7</w:t>
            </w:r>
          </w:p>
        </w:tc>
        <w:tc>
          <w:tcPr>
            <w:tcW w:w="850" w:type="dxa"/>
            <w:vAlign w:val="center"/>
          </w:tcPr>
          <w:p w14:paraId="1DBC9C79" w14:textId="6B53DB4E" w:rsidR="00080881" w:rsidRPr="008275B0" w:rsidRDefault="00080881" w:rsidP="00391462">
            <w:pPr>
              <w:pStyle w:val="af7"/>
              <w:jc w:val="center"/>
              <w:rPr>
                <w:bCs/>
              </w:rPr>
            </w:pPr>
            <w:r w:rsidRPr="008275B0">
              <w:t>885,9</w:t>
            </w:r>
          </w:p>
        </w:tc>
        <w:tc>
          <w:tcPr>
            <w:tcW w:w="843" w:type="dxa"/>
            <w:vAlign w:val="center"/>
          </w:tcPr>
          <w:p w14:paraId="67CB9C68" w14:textId="2E2CF4FD" w:rsidR="00080881" w:rsidRPr="008275B0" w:rsidRDefault="00080881" w:rsidP="00391462">
            <w:pPr>
              <w:pStyle w:val="af7"/>
              <w:jc w:val="center"/>
            </w:pPr>
            <w:r w:rsidRPr="008275B0">
              <w:t>930,2</w:t>
            </w:r>
          </w:p>
        </w:tc>
        <w:tc>
          <w:tcPr>
            <w:tcW w:w="717" w:type="dxa"/>
            <w:vAlign w:val="center"/>
          </w:tcPr>
          <w:p w14:paraId="093C2271" w14:textId="7E6FD6CC" w:rsidR="00080881" w:rsidRPr="008275B0" w:rsidRDefault="00080881" w:rsidP="00391462">
            <w:pPr>
              <w:pStyle w:val="af7"/>
              <w:jc w:val="center"/>
              <w:rPr>
                <w:bCs/>
              </w:rPr>
            </w:pPr>
            <w:r w:rsidRPr="008275B0">
              <w:t>976,7</w:t>
            </w:r>
          </w:p>
        </w:tc>
        <w:tc>
          <w:tcPr>
            <w:tcW w:w="759" w:type="dxa"/>
            <w:vAlign w:val="center"/>
          </w:tcPr>
          <w:p w14:paraId="630208AA" w14:textId="6F7D603A" w:rsidR="00080881" w:rsidRPr="008275B0" w:rsidRDefault="00080881" w:rsidP="00391462">
            <w:pPr>
              <w:pStyle w:val="af7"/>
              <w:jc w:val="center"/>
              <w:rPr>
                <w:bCs/>
              </w:rPr>
            </w:pPr>
            <w:r w:rsidRPr="008275B0">
              <w:t>694,2</w:t>
            </w:r>
          </w:p>
        </w:tc>
        <w:tc>
          <w:tcPr>
            <w:tcW w:w="792" w:type="dxa"/>
            <w:vAlign w:val="center"/>
          </w:tcPr>
          <w:p w14:paraId="601343C3" w14:textId="627828CB" w:rsidR="00080881" w:rsidRPr="008275B0" w:rsidRDefault="00080881" w:rsidP="00391462">
            <w:pPr>
              <w:pStyle w:val="af7"/>
              <w:jc w:val="center"/>
              <w:rPr>
                <w:bCs/>
              </w:rPr>
            </w:pPr>
            <w:r w:rsidRPr="008275B0">
              <w:t>728,9</w:t>
            </w:r>
          </w:p>
        </w:tc>
        <w:tc>
          <w:tcPr>
            <w:tcW w:w="717" w:type="dxa"/>
            <w:vAlign w:val="center"/>
          </w:tcPr>
          <w:p w14:paraId="5E1B8028" w14:textId="43695C97" w:rsidR="00080881" w:rsidRPr="008275B0" w:rsidRDefault="00080881" w:rsidP="00391462">
            <w:pPr>
              <w:pStyle w:val="af7"/>
              <w:jc w:val="center"/>
            </w:pPr>
            <w:r w:rsidRPr="008275B0">
              <w:t>1246,6</w:t>
            </w:r>
          </w:p>
        </w:tc>
        <w:tc>
          <w:tcPr>
            <w:tcW w:w="1842" w:type="dxa"/>
            <w:vMerge/>
            <w:vAlign w:val="center"/>
          </w:tcPr>
          <w:p w14:paraId="60106315" w14:textId="77777777" w:rsidR="00080881" w:rsidRPr="008275B0" w:rsidRDefault="00080881" w:rsidP="007B2F9D">
            <w:pPr>
              <w:pStyle w:val="af7"/>
            </w:pPr>
          </w:p>
        </w:tc>
      </w:tr>
      <w:tr w:rsidR="002F4AD5" w:rsidRPr="008275B0" w14:paraId="326780C4" w14:textId="77777777" w:rsidTr="002F4AD5">
        <w:trPr>
          <w:trHeight w:val="617"/>
        </w:trPr>
        <w:tc>
          <w:tcPr>
            <w:tcW w:w="706" w:type="dxa"/>
            <w:vAlign w:val="center"/>
          </w:tcPr>
          <w:p w14:paraId="7E4D8D5E" w14:textId="79142911" w:rsidR="00080881" w:rsidRPr="008275B0" w:rsidRDefault="00080881" w:rsidP="007B2F9D">
            <w:pPr>
              <w:pStyle w:val="af7"/>
            </w:pPr>
            <w:r w:rsidRPr="008275B0">
              <w:t>3.11.</w:t>
            </w:r>
          </w:p>
        </w:tc>
        <w:tc>
          <w:tcPr>
            <w:tcW w:w="2418" w:type="dxa"/>
            <w:vAlign w:val="center"/>
          </w:tcPr>
          <w:p w14:paraId="00354816" w14:textId="15785941" w:rsidR="00080881" w:rsidRPr="008275B0" w:rsidRDefault="00080881" w:rsidP="007B2F9D">
            <w:pPr>
              <w:pStyle w:val="af7"/>
              <w:rPr>
                <w:bCs/>
              </w:rPr>
            </w:pPr>
            <w:r w:rsidRPr="008275B0">
              <w:t xml:space="preserve">Протяженность </w:t>
            </w:r>
            <w:r w:rsidRPr="008275B0">
              <w:br/>
              <w:t xml:space="preserve">автомобильных дорог общего пользования </w:t>
            </w:r>
            <w:r w:rsidRPr="008275B0">
              <w:br/>
              <w:t xml:space="preserve">с твердым покрытием (федерального, </w:t>
            </w:r>
            <w:r w:rsidRPr="008275B0">
              <w:br/>
              <w:t xml:space="preserve">регионального, межмуниципального, местного </w:t>
            </w:r>
            <w:r w:rsidRPr="008275B0">
              <w:br/>
              <w:t>значения)</w:t>
            </w:r>
          </w:p>
        </w:tc>
        <w:tc>
          <w:tcPr>
            <w:tcW w:w="850" w:type="dxa"/>
            <w:vAlign w:val="center"/>
          </w:tcPr>
          <w:p w14:paraId="171B2E10" w14:textId="4504D1A1" w:rsidR="00080881" w:rsidRPr="008275B0" w:rsidRDefault="00080881" w:rsidP="00391462">
            <w:pPr>
              <w:pStyle w:val="af7"/>
              <w:jc w:val="center"/>
              <w:rPr>
                <w:bCs/>
              </w:rPr>
            </w:pPr>
            <w:r w:rsidRPr="008275B0">
              <w:t>км</w:t>
            </w:r>
          </w:p>
        </w:tc>
        <w:tc>
          <w:tcPr>
            <w:tcW w:w="851" w:type="dxa"/>
            <w:vAlign w:val="center"/>
          </w:tcPr>
          <w:p w14:paraId="08C2ECE4" w14:textId="64EADE1C" w:rsidR="00080881" w:rsidRPr="008275B0" w:rsidRDefault="00080881" w:rsidP="00391462">
            <w:pPr>
              <w:pStyle w:val="af7"/>
              <w:jc w:val="center"/>
            </w:pPr>
            <w:r w:rsidRPr="008275B0">
              <w:t>553,4</w:t>
            </w:r>
          </w:p>
        </w:tc>
        <w:tc>
          <w:tcPr>
            <w:tcW w:w="850" w:type="dxa"/>
            <w:vAlign w:val="center"/>
          </w:tcPr>
          <w:p w14:paraId="390696D7" w14:textId="25C7D8E8" w:rsidR="00080881" w:rsidRPr="008275B0" w:rsidRDefault="00080881" w:rsidP="00391462">
            <w:pPr>
              <w:pStyle w:val="af7"/>
              <w:jc w:val="center"/>
              <w:rPr>
                <w:bCs/>
              </w:rPr>
            </w:pPr>
            <w:r w:rsidRPr="008275B0">
              <w:t>558,9</w:t>
            </w:r>
          </w:p>
        </w:tc>
        <w:tc>
          <w:tcPr>
            <w:tcW w:w="851" w:type="dxa"/>
            <w:vAlign w:val="center"/>
          </w:tcPr>
          <w:p w14:paraId="75412FCC" w14:textId="5EE1A307" w:rsidR="00080881" w:rsidRPr="008275B0" w:rsidRDefault="00080881" w:rsidP="00391462">
            <w:pPr>
              <w:pStyle w:val="af7"/>
              <w:jc w:val="center"/>
            </w:pPr>
            <w:r w:rsidRPr="008275B0">
              <w:t>564,5</w:t>
            </w:r>
          </w:p>
        </w:tc>
        <w:tc>
          <w:tcPr>
            <w:tcW w:w="850" w:type="dxa"/>
            <w:vAlign w:val="center"/>
          </w:tcPr>
          <w:p w14:paraId="2BC2D717" w14:textId="11382C4C" w:rsidR="00080881" w:rsidRPr="008275B0" w:rsidRDefault="00080881" w:rsidP="00391462">
            <w:pPr>
              <w:pStyle w:val="af7"/>
              <w:jc w:val="center"/>
            </w:pPr>
            <w:r w:rsidRPr="008275B0">
              <w:t>570,1</w:t>
            </w:r>
          </w:p>
        </w:tc>
        <w:tc>
          <w:tcPr>
            <w:tcW w:w="851" w:type="dxa"/>
            <w:vAlign w:val="center"/>
          </w:tcPr>
          <w:p w14:paraId="4CD581FD" w14:textId="576F490F" w:rsidR="00080881" w:rsidRPr="008275B0" w:rsidRDefault="00080881" w:rsidP="00391462">
            <w:pPr>
              <w:pStyle w:val="af7"/>
              <w:jc w:val="center"/>
              <w:rPr>
                <w:bCs/>
              </w:rPr>
            </w:pPr>
            <w:r w:rsidRPr="008275B0">
              <w:t>575,8</w:t>
            </w:r>
          </w:p>
        </w:tc>
        <w:tc>
          <w:tcPr>
            <w:tcW w:w="850" w:type="dxa"/>
            <w:vAlign w:val="center"/>
          </w:tcPr>
          <w:p w14:paraId="35E8A8B1" w14:textId="773E2422" w:rsidR="00080881" w:rsidRPr="008275B0" w:rsidRDefault="00080881" w:rsidP="00391462">
            <w:pPr>
              <w:pStyle w:val="af7"/>
              <w:jc w:val="center"/>
              <w:rPr>
                <w:bCs/>
              </w:rPr>
            </w:pPr>
            <w:r w:rsidRPr="008275B0">
              <w:t>581,6</w:t>
            </w:r>
          </w:p>
        </w:tc>
        <w:tc>
          <w:tcPr>
            <w:tcW w:w="843" w:type="dxa"/>
            <w:vAlign w:val="center"/>
          </w:tcPr>
          <w:p w14:paraId="399C69B7" w14:textId="7B38E5A0" w:rsidR="00080881" w:rsidRPr="008275B0" w:rsidRDefault="00080881" w:rsidP="00391462">
            <w:pPr>
              <w:pStyle w:val="af7"/>
              <w:jc w:val="center"/>
              <w:rPr>
                <w:bCs/>
              </w:rPr>
            </w:pPr>
            <w:r w:rsidRPr="008275B0">
              <w:t>587,4</w:t>
            </w:r>
          </w:p>
        </w:tc>
        <w:tc>
          <w:tcPr>
            <w:tcW w:w="717" w:type="dxa"/>
            <w:vAlign w:val="center"/>
          </w:tcPr>
          <w:p w14:paraId="40905C09" w14:textId="0EAEFAB8" w:rsidR="00080881" w:rsidRPr="008275B0" w:rsidRDefault="00080881" w:rsidP="00391462">
            <w:pPr>
              <w:pStyle w:val="af7"/>
              <w:jc w:val="center"/>
              <w:rPr>
                <w:bCs/>
              </w:rPr>
            </w:pPr>
            <w:r w:rsidRPr="008275B0">
              <w:t>593,3</w:t>
            </w:r>
          </w:p>
        </w:tc>
        <w:tc>
          <w:tcPr>
            <w:tcW w:w="759" w:type="dxa"/>
            <w:vAlign w:val="center"/>
          </w:tcPr>
          <w:p w14:paraId="7D2794D7" w14:textId="304665A0" w:rsidR="00080881" w:rsidRPr="008275B0" w:rsidRDefault="00080881" w:rsidP="00391462">
            <w:pPr>
              <w:pStyle w:val="af7"/>
              <w:jc w:val="center"/>
              <w:rPr>
                <w:bCs/>
              </w:rPr>
            </w:pPr>
            <w:r w:rsidRPr="008275B0">
              <w:t>599,2</w:t>
            </w:r>
          </w:p>
        </w:tc>
        <w:tc>
          <w:tcPr>
            <w:tcW w:w="792" w:type="dxa"/>
            <w:vAlign w:val="center"/>
          </w:tcPr>
          <w:p w14:paraId="7285F88F" w14:textId="26D24AE6" w:rsidR="00080881" w:rsidRPr="008275B0" w:rsidRDefault="00080881" w:rsidP="00391462">
            <w:pPr>
              <w:pStyle w:val="af7"/>
              <w:jc w:val="center"/>
              <w:rPr>
                <w:bCs/>
              </w:rPr>
            </w:pPr>
            <w:r w:rsidRPr="008275B0">
              <w:t>605,2</w:t>
            </w:r>
          </w:p>
        </w:tc>
        <w:tc>
          <w:tcPr>
            <w:tcW w:w="717" w:type="dxa"/>
            <w:vAlign w:val="center"/>
          </w:tcPr>
          <w:p w14:paraId="189D7AEA" w14:textId="19A2FC41" w:rsidR="00080881" w:rsidRPr="008275B0" w:rsidRDefault="00080881" w:rsidP="00391462">
            <w:pPr>
              <w:pStyle w:val="af7"/>
              <w:jc w:val="center"/>
            </w:pPr>
            <w:r w:rsidRPr="008275B0">
              <w:t>636,1</w:t>
            </w:r>
          </w:p>
        </w:tc>
        <w:tc>
          <w:tcPr>
            <w:tcW w:w="1842" w:type="dxa"/>
            <w:vMerge/>
            <w:vAlign w:val="center"/>
          </w:tcPr>
          <w:p w14:paraId="6C812B50" w14:textId="4093EFA4" w:rsidR="00080881" w:rsidRPr="008275B0" w:rsidRDefault="00080881" w:rsidP="007B2F9D">
            <w:pPr>
              <w:pStyle w:val="af7"/>
            </w:pPr>
          </w:p>
        </w:tc>
      </w:tr>
      <w:tr w:rsidR="002F4AD5" w:rsidRPr="008275B0" w14:paraId="4EF54CE6" w14:textId="77777777" w:rsidTr="002F4AD5">
        <w:trPr>
          <w:trHeight w:val="617"/>
        </w:trPr>
        <w:tc>
          <w:tcPr>
            <w:tcW w:w="706" w:type="dxa"/>
            <w:vAlign w:val="center"/>
          </w:tcPr>
          <w:p w14:paraId="4A0A13B6" w14:textId="577B72FF" w:rsidR="00080881" w:rsidRPr="008275B0" w:rsidRDefault="00080881" w:rsidP="007B2F9D">
            <w:pPr>
              <w:pStyle w:val="af7"/>
            </w:pPr>
            <w:r w:rsidRPr="008275B0">
              <w:t>3.12.</w:t>
            </w:r>
          </w:p>
        </w:tc>
        <w:tc>
          <w:tcPr>
            <w:tcW w:w="2418" w:type="dxa"/>
            <w:vAlign w:val="center"/>
          </w:tcPr>
          <w:p w14:paraId="7FA2FA5D" w14:textId="10CF1368" w:rsidR="00080881" w:rsidRPr="008275B0" w:rsidRDefault="00080881" w:rsidP="007B2F9D">
            <w:pPr>
              <w:pStyle w:val="af7"/>
            </w:pPr>
            <w:r w:rsidRPr="008275B0">
              <w:t xml:space="preserve">Доля жителей Нефтеюганского района, </w:t>
            </w:r>
            <w:r w:rsidRPr="008275B0">
              <w:lastRenderedPageBreak/>
              <w:t>использующих механизм получения государственных и муниципальных услуг в электронной форме</w:t>
            </w:r>
          </w:p>
        </w:tc>
        <w:tc>
          <w:tcPr>
            <w:tcW w:w="850" w:type="dxa"/>
            <w:vAlign w:val="center"/>
          </w:tcPr>
          <w:p w14:paraId="2A6BCC67" w14:textId="73283E1E" w:rsidR="00080881" w:rsidRPr="008275B0" w:rsidRDefault="00080881" w:rsidP="00391462">
            <w:pPr>
              <w:pStyle w:val="af7"/>
              <w:jc w:val="center"/>
            </w:pPr>
            <w:r w:rsidRPr="008275B0">
              <w:lastRenderedPageBreak/>
              <w:t>%</w:t>
            </w:r>
          </w:p>
        </w:tc>
        <w:tc>
          <w:tcPr>
            <w:tcW w:w="851" w:type="dxa"/>
            <w:vAlign w:val="center"/>
          </w:tcPr>
          <w:p w14:paraId="048D66C2" w14:textId="69E3EDB9" w:rsidR="00080881" w:rsidRPr="008275B0" w:rsidRDefault="00080881" w:rsidP="00391462">
            <w:pPr>
              <w:pStyle w:val="af7"/>
              <w:jc w:val="center"/>
            </w:pPr>
            <w:r w:rsidRPr="008275B0">
              <w:t>56%</w:t>
            </w:r>
          </w:p>
        </w:tc>
        <w:tc>
          <w:tcPr>
            <w:tcW w:w="850" w:type="dxa"/>
            <w:vAlign w:val="center"/>
          </w:tcPr>
          <w:p w14:paraId="3FABE410" w14:textId="6823B08A" w:rsidR="00080881" w:rsidRPr="008275B0" w:rsidRDefault="00080881" w:rsidP="00391462">
            <w:pPr>
              <w:pStyle w:val="af7"/>
              <w:jc w:val="center"/>
            </w:pPr>
            <w:r w:rsidRPr="008275B0">
              <w:t>58%</w:t>
            </w:r>
          </w:p>
        </w:tc>
        <w:tc>
          <w:tcPr>
            <w:tcW w:w="851" w:type="dxa"/>
            <w:vAlign w:val="center"/>
          </w:tcPr>
          <w:p w14:paraId="31600C7C" w14:textId="3056402B" w:rsidR="00080881" w:rsidRPr="008275B0" w:rsidRDefault="00080881" w:rsidP="00391462">
            <w:pPr>
              <w:pStyle w:val="af7"/>
              <w:jc w:val="center"/>
            </w:pPr>
            <w:r w:rsidRPr="008275B0">
              <w:t>59%</w:t>
            </w:r>
          </w:p>
        </w:tc>
        <w:tc>
          <w:tcPr>
            <w:tcW w:w="850" w:type="dxa"/>
            <w:vAlign w:val="center"/>
          </w:tcPr>
          <w:p w14:paraId="796DD5CA" w14:textId="335D5584" w:rsidR="00080881" w:rsidRPr="008275B0" w:rsidRDefault="00080881" w:rsidP="00391462">
            <w:pPr>
              <w:pStyle w:val="af7"/>
              <w:jc w:val="center"/>
            </w:pPr>
            <w:r w:rsidRPr="008275B0">
              <w:t>59%</w:t>
            </w:r>
          </w:p>
        </w:tc>
        <w:tc>
          <w:tcPr>
            <w:tcW w:w="851" w:type="dxa"/>
            <w:vAlign w:val="center"/>
          </w:tcPr>
          <w:p w14:paraId="40590D82" w14:textId="6CC26A1D" w:rsidR="00080881" w:rsidRPr="008275B0" w:rsidRDefault="00080881" w:rsidP="00391462">
            <w:pPr>
              <w:pStyle w:val="af7"/>
              <w:jc w:val="center"/>
            </w:pPr>
            <w:r w:rsidRPr="008275B0">
              <w:t>59%</w:t>
            </w:r>
          </w:p>
        </w:tc>
        <w:tc>
          <w:tcPr>
            <w:tcW w:w="850" w:type="dxa"/>
            <w:vAlign w:val="center"/>
          </w:tcPr>
          <w:p w14:paraId="336809F2" w14:textId="61504FBC" w:rsidR="00080881" w:rsidRPr="008275B0" w:rsidRDefault="00080881" w:rsidP="00391462">
            <w:pPr>
              <w:pStyle w:val="af7"/>
              <w:jc w:val="center"/>
            </w:pPr>
            <w:r w:rsidRPr="008275B0">
              <w:t>60%</w:t>
            </w:r>
          </w:p>
        </w:tc>
        <w:tc>
          <w:tcPr>
            <w:tcW w:w="843" w:type="dxa"/>
            <w:vAlign w:val="center"/>
          </w:tcPr>
          <w:p w14:paraId="39525AF6" w14:textId="610FC400" w:rsidR="00080881" w:rsidRPr="008275B0" w:rsidRDefault="00080881" w:rsidP="00391462">
            <w:pPr>
              <w:pStyle w:val="af7"/>
              <w:jc w:val="center"/>
            </w:pPr>
            <w:r w:rsidRPr="008275B0">
              <w:t>62%</w:t>
            </w:r>
          </w:p>
        </w:tc>
        <w:tc>
          <w:tcPr>
            <w:tcW w:w="717" w:type="dxa"/>
            <w:vAlign w:val="center"/>
          </w:tcPr>
          <w:p w14:paraId="2778653D" w14:textId="687741DE" w:rsidR="00080881" w:rsidRPr="008275B0" w:rsidRDefault="00080881" w:rsidP="00391462">
            <w:pPr>
              <w:pStyle w:val="af7"/>
              <w:jc w:val="center"/>
            </w:pPr>
            <w:r w:rsidRPr="008275B0">
              <w:t>63%</w:t>
            </w:r>
          </w:p>
        </w:tc>
        <w:tc>
          <w:tcPr>
            <w:tcW w:w="759" w:type="dxa"/>
            <w:vAlign w:val="center"/>
          </w:tcPr>
          <w:p w14:paraId="50D08EC8" w14:textId="63C289C6" w:rsidR="00080881" w:rsidRPr="008275B0" w:rsidRDefault="00080881" w:rsidP="00391462">
            <w:pPr>
              <w:pStyle w:val="af7"/>
              <w:jc w:val="center"/>
            </w:pPr>
            <w:r w:rsidRPr="008275B0">
              <w:t>64%</w:t>
            </w:r>
          </w:p>
        </w:tc>
        <w:tc>
          <w:tcPr>
            <w:tcW w:w="792" w:type="dxa"/>
            <w:vAlign w:val="center"/>
          </w:tcPr>
          <w:p w14:paraId="6C025C48" w14:textId="73571812" w:rsidR="00080881" w:rsidRPr="008275B0" w:rsidRDefault="00080881" w:rsidP="00391462">
            <w:pPr>
              <w:pStyle w:val="af7"/>
              <w:jc w:val="center"/>
            </w:pPr>
            <w:r w:rsidRPr="008275B0">
              <w:t>65%</w:t>
            </w:r>
          </w:p>
        </w:tc>
        <w:tc>
          <w:tcPr>
            <w:tcW w:w="717" w:type="dxa"/>
            <w:vAlign w:val="center"/>
          </w:tcPr>
          <w:p w14:paraId="319B16E4" w14:textId="08826B6D" w:rsidR="00080881" w:rsidRPr="008275B0" w:rsidRDefault="00080881" w:rsidP="00391462">
            <w:pPr>
              <w:pStyle w:val="af7"/>
              <w:jc w:val="center"/>
            </w:pPr>
            <w:r w:rsidRPr="008275B0">
              <w:t>69%</w:t>
            </w:r>
          </w:p>
        </w:tc>
        <w:tc>
          <w:tcPr>
            <w:tcW w:w="1842" w:type="dxa"/>
          </w:tcPr>
          <w:p w14:paraId="25C9EF7D" w14:textId="31F79F36" w:rsidR="00080881" w:rsidRPr="008275B0" w:rsidRDefault="00080881" w:rsidP="007B2F9D">
            <w:pPr>
              <w:pStyle w:val="af7"/>
              <w:rPr>
                <w:rFonts w:eastAsia="Times New Roman"/>
                <w:bCs/>
                <w:color w:val="000000"/>
              </w:rPr>
            </w:pPr>
            <w:r w:rsidRPr="008275B0">
              <w:t xml:space="preserve">Управление информационных </w:t>
            </w:r>
            <w:r w:rsidRPr="008275B0">
              <w:lastRenderedPageBreak/>
              <w:t>технологий и административного реформирования</w:t>
            </w:r>
          </w:p>
        </w:tc>
      </w:tr>
      <w:tr w:rsidR="002F4AD5" w:rsidRPr="008275B0" w14:paraId="2A2EDDAB" w14:textId="77777777" w:rsidTr="002F4AD5">
        <w:trPr>
          <w:trHeight w:val="721"/>
        </w:trPr>
        <w:tc>
          <w:tcPr>
            <w:tcW w:w="706" w:type="dxa"/>
            <w:vAlign w:val="center"/>
          </w:tcPr>
          <w:p w14:paraId="7D80F233" w14:textId="762D3D6F" w:rsidR="00080881" w:rsidRPr="008275B0" w:rsidRDefault="00080881" w:rsidP="007B2F9D">
            <w:pPr>
              <w:pStyle w:val="af7"/>
            </w:pPr>
            <w:r w:rsidRPr="008275B0">
              <w:lastRenderedPageBreak/>
              <w:t>3.13.</w:t>
            </w:r>
          </w:p>
        </w:tc>
        <w:tc>
          <w:tcPr>
            <w:tcW w:w="2418" w:type="dxa"/>
            <w:vAlign w:val="center"/>
          </w:tcPr>
          <w:p w14:paraId="56D882AA" w14:textId="7A762949" w:rsidR="00080881" w:rsidRPr="008275B0" w:rsidRDefault="00080881" w:rsidP="007B2F9D">
            <w:pPr>
              <w:pStyle w:val="af7"/>
              <w:rPr>
                <w:rFonts w:eastAsia="Times New Roman"/>
                <w:bCs/>
                <w:color w:val="000000"/>
              </w:rPr>
            </w:pPr>
            <w:r w:rsidRPr="008275B0">
              <w:t xml:space="preserve">Текущие затраты </w:t>
            </w:r>
            <w:r w:rsidRPr="008275B0">
              <w:br/>
              <w:t xml:space="preserve">на охрану окружающей среды </w:t>
            </w:r>
          </w:p>
        </w:tc>
        <w:tc>
          <w:tcPr>
            <w:tcW w:w="850" w:type="dxa"/>
            <w:vAlign w:val="center"/>
          </w:tcPr>
          <w:p w14:paraId="4B19A294" w14:textId="376874B3" w:rsidR="00080881" w:rsidRPr="008275B0" w:rsidRDefault="00080881" w:rsidP="00391462">
            <w:pPr>
              <w:pStyle w:val="af7"/>
              <w:jc w:val="center"/>
              <w:rPr>
                <w:rFonts w:eastAsia="Times New Roman"/>
                <w:bCs/>
                <w:color w:val="000000"/>
              </w:rPr>
            </w:pPr>
            <w:r w:rsidRPr="008275B0">
              <w:t>млн. рублей</w:t>
            </w:r>
          </w:p>
        </w:tc>
        <w:tc>
          <w:tcPr>
            <w:tcW w:w="851" w:type="dxa"/>
            <w:vAlign w:val="center"/>
          </w:tcPr>
          <w:p w14:paraId="317ED40B" w14:textId="77B87DC1" w:rsidR="00080881" w:rsidRPr="008275B0" w:rsidRDefault="00080881" w:rsidP="00391462">
            <w:pPr>
              <w:pStyle w:val="af7"/>
              <w:jc w:val="center"/>
              <w:rPr>
                <w:bCs/>
              </w:rPr>
            </w:pPr>
            <w:r w:rsidRPr="008275B0">
              <w:t>4534,7</w:t>
            </w:r>
          </w:p>
        </w:tc>
        <w:tc>
          <w:tcPr>
            <w:tcW w:w="850" w:type="dxa"/>
            <w:vAlign w:val="center"/>
          </w:tcPr>
          <w:p w14:paraId="69998063" w14:textId="27C9E9D5" w:rsidR="00080881" w:rsidRPr="008275B0" w:rsidRDefault="00080881" w:rsidP="00391462">
            <w:pPr>
              <w:pStyle w:val="af7"/>
              <w:jc w:val="center"/>
              <w:rPr>
                <w:bCs/>
              </w:rPr>
            </w:pPr>
            <w:r w:rsidRPr="008275B0">
              <w:t>4988,2</w:t>
            </w:r>
          </w:p>
        </w:tc>
        <w:tc>
          <w:tcPr>
            <w:tcW w:w="851" w:type="dxa"/>
            <w:vAlign w:val="center"/>
          </w:tcPr>
          <w:p w14:paraId="3F75AC2F" w14:textId="081C570A" w:rsidR="00080881" w:rsidRPr="008275B0" w:rsidRDefault="00080881" w:rsidP="00391462">
            <w:pPr>
              <w:pStyle w:val="af7"/>
              <w:jc w:val="center"/>
            </w:pPr>
            <w:r w:rsidRPr="008275B0">
              <w:t>5487,0</w:t>
            </w:r>
          </w:p>
        </w:tc>
        <w:tc>
          <w:tcPr>
            <w:tcW w:w="850" w:type="dxa"/>
            <w:vAlign w:val="center"/>
          </w:tcPr>
          <w:p w14:paraId="3D71676E" w14:textId="4243D920" w:rsidR="00080881" w:rsidRPr="008275B0" w:rsidRDefault="00080881" w:rsidP="00391462">
            <w:pPr>
              <w:pStyle w:val="af7"/>
              <w:jc w:val="center"/>
            </w:pPr>
            <w:r w:rsidRPr="008275B0">
              <w:t>5871,1</w:t>
            </w:r>
          </w:p>
        </w:tc>
        <w:tc>
          <w:tcPr>
            <w:tcW w:w="851" w:type="dxa"/>
            <w:vAlign w:val="center"/>
          </w:tcPr>
          <w:p w14:paraId="40DF405D" w14:textId="118EDACA" w:rsidR="00080881" w:rsidRPr="008275B0" w:rsidRDefault="00080881" w:rsidP="00391462">
            <w:pPr>
              <w:pStyle w:val="af7"/>
              <w:jc w:val="center"/>
              <w:rPr>
                <w:bCs/>
              </w:rPr>
            </w:pPr>
            <w:r w:rsidRPr="008275B0">
              <w:t>6282,1</w:t>
            </w:r>
          </w:p>
        </w:tc>
        <w:tc>
          <w:tcPr>
            <w:tcW w:w="850" w:type="dxa"/>
            <w:vAlign w:val="center"/>
          </w:tcPr>
          <w:p w14:paraId="4FB506ED" w14:textId="417882CD" w:rsidR="00080881" w:rsidRPr="008275B0" w:rsidRDefault="00080881" w:rsidP="00391462">
            <w:pPr>
              <w:pStyle w:val="af7"/>
              <w:jc w:val="center"/>
              <w:rPr>
                <w:bCs/>
              </w:rPr>
            </w:pPr>
            <w:r w:rsidRPr="008275B0">
              <w:t>6596,2</w:t>
            </w:r>
          </w:p>
        </w:tc>
        <w:tc>
          <w:tcPr>
            <w:tcW w:w="843" w:type="dxa"/>
            <w:vAlign w:val="center"/>
          </w:tcPr>
          <w:p w14:paraId="6ED79573" w14:textId="4D5F3FAF" w:rsidR="00080881" w:rsidRPr="008275B0" w:rsidRDefault="00080881" w:rsidP="00391462">
            <w:pPr>
              <w:pStyle w:val="af7"/>
              <w:jc w:val="center"/>
              <w:rPr>
                <w:bCs/>
              </w:rPr>
            </w:pPr>
            <w:r w:rsidRPr="008275B0">
              <w:t>6926,0</w:t>
            </w:r>
          </w:p>
        </w:tc>
        <w:tc>
          <w:tcPr>
            <w:tcW w:w="717" w:type="dxa"/>
            <w:vAlign w:val="center"/>
          </w:tcPr>
          <w:p w14:paraId="5F8D576F" w14:textId="59AAF850" w:rsidR="00080881" w:rsidRPr="008275B0" w:rsidRDefault="00080881" w:rsidP="00391462">
            <w:pPr>
              <w:pStyle w:val="af7"/>
              <w:jc w:val="center"/>
              <w:rPr>
                <w:bCs/>
              </w:rPr>
            </w:pPr>
            <w:r w:rsidRPr="008275B0">
              <w:t>7133,7</w:t>
            </w:r>
          </w:p>
        </w:tc>
        <w:tc>
          <w:tcPr>
            <w:tcW w:w="759" w:type="dxa"/>
            <w:vAlign w:val="center"/>
          </w:tcPr>
          <w:p w14:paraId="4C602480" w14:textId="4E338439" w:rsidR="00080881" w:rsidRPr="008275B0" w:rsidRDefault="00080881" w:rsidP="00391462">
            <w:pPr>
              <w:pStyle w:val="af7"/>
              <w:jc w:val="center"/>
              <w:rPr>
                <w:bCs/>
              </w:rPr>
            </w:pPr>
            <w:r w:rsidRPr="008275B0">
              <w:t>7347,8</w:t>
            </w:r>
          </w:p>
        </w:tc>
        <w:tc>
          <w:tcPr>
            <w:tcW w:w="792" w:type="dxa"/>
            <w:vAlign w:val="center"/>
          </w:tcPr>
          <w:p w14:paraId="1F6520E9" w14:textId="0B38326E" w:rsidR="00080881" w:rsidRPr="008275B0" w:rsidRDefault="00080881" w:rsidP="00391462">
            <w:pPr>
              <w:pStyle w:val="af7"/>
              <w:jc w:val="center"/>
              <w:rPr>
                <w:bCs/>
              </w:rPr>
            </w:pPr>
            <w:r w:rsidRPr="008275B0">
              <w:t>7568,2</w:t>
            </w:r>
          </w:p>
        </w:tc>
        <w:tc>
          <w:tcPr>
            <w:tcW w:w="717" w:type="dxa"/>
            <w:vAlign w:val="center"/>
          </w:tcPr>
          <w:p w14:paraId="05AC5F64" w14:textId="6718BDE0" w:rsidR="00080881" w:rsidRPr="008275B0" w:rsidRDefault="00080881" w:rsidP="00391462">
            <w:pPr>
              <w:pStyle w:val="af7"/>
              <w:jc w:val="center"/>
            </w:pPr>
            <w:r w:rsidRPr="008275B0">
              <w:t>8773,6</w:t>
            </w:r>
          </w:p>
        </w:tc>
        <w:tc>
          <w:tcPr>
            <w:tcW w:w="1842" w:type="dxa"/>
            <w:vMerge w:val="restart"/>
          </w:tcPr>
          <w:p w14:paraId="40D44383" w14:textId="5B10630D" w:rsidR="00080881" w:rsidRPr="008275B0" w:rsidRDefault="00080881" w:rsidP="007B2F9D">
            <w:pPr>
              <w:pStyle w:val="af7"/>
              <w:rPr>
                <w:bCs/>
                <w:color w:val="000000"/>
              </w:rPr>
            </w:pPr>
            <w:r w:rsidRPr="008275B0">
              <w:t xml:space="preserve">Комитет по делам народов Севера, охраны окружающей среды и водных </w:t>
            </w:r>
            <w:r w:rsidRPr="008275B0">
              <w:br/>
              <w:t>ресурсов</w:t>
            </w:r>
          </w:p>
        </w:tc>
      </w:tr>
      <w:tr w:rsidR="002F4AD5" w:rsidRPr="008275B0" w14:paraId="697F2A3D" w14:textId="77777777" w:rsidTr="002F4AD5">
        <w:trPr>
          <w:trHeight w:val="1280"/>
        </w:trPr>
        <w:tc>
          <w:tcPr>
            <w:tcW w:w="706" w:type="dxa"/>
            <w:vAlign w:val="center"/>
          </w:tcPr>
          <w:p w14:paraId="38472810" w14:textId="07871AB9" w:rsidR="00080881" w:rsidRPr="008275B0" w:rsidRDefault="0023274F" w:rsidP="007B2F9D">
            <w:pPr>
              <w:pStyle w:val="af7"/>
            </w:pPr>
            <w:r>
              <w:t>3.14</w:t>
            </w:r>
            <w:r w:rsidR="00080881" w:rsidRPr="008275B0">
              <w:t>.</w:t>
            </w:r>
          </w:p>
        </w:tc>
        <w:tc>
          <w:tcPr>
            <w:tcW w:w="2418" w:type="dxa"/>
            <w:vAlign w:val="center"/>
          </w:tcPr>
          <w:p w14:paraId="1CD8BBAA" w14:textId="0D891744" w:rsidR="00080881" w:rsidRPr="008275B0" w:rsidRDefault="00080881" w:rsidP="007B2F9D">
            <w:pPr>
              <w:pStyle w:val="af7"/>
            </w:pPr>
            <w:r w:rsidRPr="008275B0">
              <w:t>Доля населения, вовлеченного в эколого-просветительские и эколого-образовательные мероприятия от общего количества населения района</w:t>
            </w:r>
          </w:p>
        </w:tc>
        <w:tc>
          <w:tcPr>
            <w:tcW w:w="850" w:type="dxa"/>
            <w:vAlign w:val="center"/>
          </w:tcPr>
          <w:p w14:paraId="41A43808" w14:textId="620EAED2" w:rsidR="00080881" w:rsidRPr="008275B0" w:rsidRDefault="00080881" w:rsidP="00391462">
            <w:pPr>
              <w:pStyle w:val="af7"/>
              <w:jc w:val="center"/>
            </w:pPr>
            <w:r w:rsidRPr="008275B0">
              <w:t>%</w:t>
            </w:r>
          </w:p>
        </w:tc>
        <w:tc>
          <w:tcPr>
            <w:tcW w:w="851" w:type="dxa"/>
            <w:vAlign w:val="center"/>
          </w:tcPr>
          <w:p w14:paraId="54066B7D" w14:textId="6855A20D" w:rsidR="00080881" w:rsidRPr="008275B0" w:rsidRDefault="00080881" w:rsidP="00391462">
            <w:pPr>
              <w:pStyle w:val="af7"/>
              <w:jc w:val="center"/>
            </w:pPr>
            <w:r w:rsidRPr="008275B0">
              <w:t>29</w:t>
            </w:r>
          </w:p>
        </w:tc>
        <w:tc>
          <w:tcPr>
            <w:tcW w:w="850" w:type="dxa"/>
            <w:vAlign w:val="center"/>
          </w:tcPr>
          <w:p w14:paraId="1556796C" w14:textId="3836BEEA" w:rsidR="00080881" w:rsidRPr="008275B0" w:rsidRDefault="00080881" w:rsidP="00391462">
            <w:pPr>
              <w:pStyle w:val="af7"/>
              <w:jc w:val="center"/>
            </w:pPr>
            <w:r w:rsidRPr="008275B0">
              <w:t>29</w:t>
            </w:r>
          </w:p>
        </w:tc>
        <w:tc>
          <w:tcPr>
            <w:tcW w:w="851" w:type="dxa"/>
            <w:vAlign w:val="center"/>
          </w:tcPr>
          <w:p w14:paraId="6A8DFA9A" w14:textId="05F3577E" w:rsidR="00080881" w:rsidRPr="008275B0" w:rsidRDefault="00080881" w:rsidP="00391462">
            <w:pPr>
              <w:pStyle w:val="af7"/>
              <w:jc w:val="center"/>
            </w:pPr>
            <w:r w:rsidRPr="008275B0">
              <w:t>29</w:t>
            </w:r>
          </w:p>
        </w:tc>
        <w:tc>
          <w:tcPr>
            <w:tcW w:w="850" w:type="dxa"/>
            <w:vAlign w:val="center"/>
          </w:tcPr>
          <w:p w14:paraId="204121BE" w14:textId="637032B8" w:rsidR="00080881" w:rsidRPr="008275B0" w:rsidRDefault="00080881" w:rsidP="00391462">
            <w:pPr>
              <w:pStyle w:val="af7"/>
              <w:jc w:val="center"/>
            </w:pPr>
            <w:r w:rsidRPr="008275B0">
              <w:t>29</w:t>
            </w:r>
          </w:p>
        </w:tc>
        <w:tc>
          <w:tcPr>
            <w:tcW w:w="851" w:type="dxa"/>
            <w:vAlign w:val="center"/>
          </w:tcPr>
          <w:p w14:paraId="317CE400" w14:textId="4299C5AC" w:rsidR="00080881" w:rsidRPr="008275B0" w:rsidRDefault="00080881" w:rsidP="00391462">
            <w:pPr>
              <w:pStyle w:val="af7"/>
              <w:jc w:val="center"/>
            </w:pPr>
            <w:r w:rsidRPr="008275B0">
              <w:t>30</w:t>
            </w:r>
          </w:p>
        </w:tc>
        <w:tc>
          <w:tcPr>
            <w:tcW w:w="850" w:type="dxa"/>
            <w:vAlign w:val="center"/>
          </w:tcPr>
          <w:p w14:paraId="1F439D95" w14:textId="668A1266" w:rsidR="00080881" w:rsidRPr="008275B0" w:rsidRDefault="00080881" w:rsidP="00391462">
            <w:pPr>
              <w:pStyle w:val="af7"/>
              <w:jc w:val="center"/>
            </w:pPr>
            <w:r w:rsidRPr="008275B0">
              <w:t>30</w:t>
            </w:r>
          </w:p>
        </w:tc>
        <w:tc>
          <w:tcPr>
            <w:tcW w:w="843" w:type="dxa"/>
            <w:vAlign w:val="center"/>
          </w:tcPr>
          <w:p w14:paraId="00011ED8" w14:textId="59F0CE4F" w:rsidR="00080881" w:rsidRPr="008275B0" w:rsidRDefault="00080881" w:rsidP="00391462">
            <w:pPr>
              <w:pStyle w:val="af7"/>
              <w:jc w:val="center"/>
            </w:pPr>
            <w:r w:rsidRPr="008275B0">
              <w:t>31</w:t>
            </w:r>
          </w:p>
        </w:tc>
        <w:tc>
          <w:tcPr>
            <w:tcW w:w="717" w:type="dxa"/>
            <w:vAlign w:val="center"/>
          </w:tcPr>
          <w:p w14:paraId="46090369" w14:textId="0627A530" w:rsidR="00080881" w:rsidRPr="008275B0" w:rsidRDefault="00080881" w:rsidP="00391462">
            <w:pPr>
              <w:pStyle w:val="af7"/>
              <w:jc w:val="center"/>
            </w:pPr>
            <w:r w:rsidRPr="008275B0">
              <w:t>31</w:t>
            </w:r>
          </w:p>
        </w:tc>
        <w:tc>
          <w:tcPr>
            <w:tcW w:w="759" w:type="dxa"/>
            <w:vAlign w:val="center"/>
          </w:tcPr>
          <w:p w14:paraId="62D49CCC" w14:textId="39F8D8E9" w:rsidR="00080881" w:rsidRPr="008275B0" w:rsidRDefault="00080881" w:rsidP="00391462">
            <w:pPr>
              <w:pStyle w:val="af7"/>
              <w:jc w:val="center"/>
            </w:pPr>
            <w:r w:rsidRPr="008275B0">
              <w:t>32</w:t>
            </w:r>
          </w:p>
        </w:tc>
        <w:tc>
          <w:tcPr>
            <w:tcW w:w="792" w:type="dxa"/>
            <w:vAlign w:val="center"/>
          </w:tcPr>
          <w:p w14:paraId="11903B05" w14:textId="1AA63E82" w:rsidR="00080881" w:rsidRPr="008275B0" w:rsidRDefault="00080881" w:rsidP="00391462">
            <w:pPr>
              <w:pStyle w:val="af7"/>
              <w:jc w:val="center"/>
            </w:pPr>
            <w:r w:rsidRPr="008275B0">
              <w:t>32</w:t>
            </w:r>
          </w:p>
        </w:tc>
        <w:tc>
          <w:tcPr>
            <w:tcW w:w="717" w:type="dxa"/>
            <w:vAlign w:val="center"/>
          </w:tcPr>
          <w:p w14:paraId="6534DA6C" w14:textId="76B8CF39" w:rsidR="00080881" w:rsidRPr="008275B0" w:rsidRDefault="00080881" w:rsidP="00391462">
            <w:pPr>
              <w:pStyle w:val="af7"/>
              <w:jc w:val="center"/>
            </w:pPr>
            <w:r w:rsidRPr="008275B0">
              <w:t>34</w:t>
            </w:r>
          </w:p>
        </w:tc>
        <w:tc>
          <w:tcPr>
            <w:tcW w:w="1842" w:type="dxa"/>
            <w:vMerge/>
            <w:vAlign w:val="center"/>
          </w:tcPr>
          <w:p w14:paraId="37AC567F" w14:textId="77777777" w:rsidR="00080881" w:rsidRPr="008275B0" w:rsidRDefault="00080881" w:rsidP="007B2F9D">
            <w:pPr>
              <w:pStyle w:val="af7"/>
            </w:pPr>
          </w:p>
        </w:tc>
      </w:tr>
    </w:tbl>
    <w:p w14:paraId="2B3C91E8" w14:textId="77777777" w:rsidR="00A3014A" w:rsidRPr="008275B0" w:rsidRDefault="00A3014A" w:rsidP="00A93D7F"/>
    <w:p w14:paraId="4B3BB09F" w14:textId="77777777" w:rsidR="009C09EE" w:rsidRPr="008275B0" w:rsidRDefault="009C09EE" w:rsidP="00A93D7F"/>
    <w:p w14:paraId="467A9FF1" w14:textId="404E3C39" w:rsidR="00A000E2" w:rsidRPr="008275B0" w:rsidRDefault="00A000E2" w:rsidP="00A93D7F"/>
    <w:p w14:paraId="4534C764" w14:textId="77777777" w:rsidR="00DE51C3" w:rsidRPr="008275B0" w:rsidRDefault="00DE51C3" w:rsidP="00A93D7F">
      <w:pPr>
        <w:sectPr w:rsidR="00DE51C3" w:rsidRPr="008275B0" w:rsidSect="00275404">
          <w:pgSz w:w="16840" w:h="11900" w:orient="landscape"/>
          <w:pgMar w:top="1701" w:right="1134" w:bottom="850" w:left="1134" w:header="708" w:footer="708" w:gutter="0"/>
          <w:cols w:space="708"/>
          <w:docGrid w:linePitch="360"/>
        </w:sectPr>
      </w:pPr>
    </w:p>
    <w:p w14:paraId="01AC5301" w14:textId="677E9DD7" w:rsidR="00156D32" w:rsidRPr="004E2137" w:rsidRDefault="00156D32" w:rsidP="0007739F">
      <w:pPr>
        <w:pStyle w:val="1"/>
        <w:numPr>
          <w:ilvl w:val="0"/>
          <w:numId w:val="0"/>
        </w:numPr>
        <w:ind w:left="360"/>
      </w:pPr>
      <w:bookmarkStart w:id="59" w:name="_Toc503913888"/>
      <w:bookmarkStart w:id="60" w:name="_Toc504055128"/>
      <w:bookmarkStart w:id="61" w:name="OLE_LINK2"/>
      <w:r w:rsidRPr="0063073C">
        <w:lastRenderedPageBreak/>
        <w:t>ПРИЛОЖЕНИЕ 1</w:t>
      </w:r>
      <w:bookmarkEnd w:id="59"/>
      <w:r w:rsidR="00D97826">
        <w:t xml:space="preserve">. </w:t>
      </w:r>
      <w:r w:rsidRPr="004E2137">
        <w:t>АНАЛИЗ СОЦИАЛЬНО-ЭКОНОМИЧЕСКОГО РАЗВИТИЯ НЕФТЕЮГАНСКОГО РАЙОНА</w:t>
      </w:r>
      <w:bookmarkEnd w:id="60"/>
    </w:p>
    <w:p w14:paraId="3960CBDA" w14:textId="77777777" w:rsidR="00D35E0D" w:rsidRDefault="00D35E0D" w:rsidP="00A93D7F"/>
    <w:p w14:paraId="2AA5CF19" w14:textId="77777777" w:rsidR="009D029D" w:rsidRDefault="009D029D" w:rsidP="00A93D7F"/>
    <w:p w14:paraId="1CACC247" w14:textId="538BC381" w:rsidR="009D029D" w:rsidRPr="00391462" w:rsidRDefault="006B6BA9" w:rsidP="00391462">
      <w:pPr>
        <w:jc w:val="center"/>
        <w:rPr>
          <w:b/>
        </w:rPr>
      </w:pPr>
      <w:r w:rsidRPr="00391462">
        <w:rPr>
          <w:b/>
        </w:rPr>
        <w:t>Природно-ресурсный потенциал</w:t>
      </w:r>
    </w:p>
    <w:p w14:paraId="60A5B8D6" w14:textId="77777777" w:rsidR="00C24B20" w:rsidRPr="0071424E" w:rsidRDefault="00C24B20" w:rsidP="00A93D7F"/>
    <w:p w14:paraId="4092C29E" w14:textId="77777777" w:rsidR="009D029D" w:rsidRPr="00391462" w:rsidRDefault="009D029D" w:rsidP="00A93D7F">
      <w:pPr>
        <w:rPr>
          <w:i/>
        </w:rPr>
      </w:pPr>
      <w:r w:rsidRPr="00391462">
        <w:rPr>
          <w:i/>
        </w:rPr>
        <w:t>Географическое положение и земельные ресурсы</w:t>
      </w:r>
    </w:p>
    <w:p w14:paraId="59410090" w14:textId="77777777" w:rsidR="009D029D" w:rsidRPr="00E83581" w:rsidRDefault="009D029D" w:rsidP="00A93D7F">
      <w:r w:rsidRPr="00E83581">
        <w:t>Нефтеюганский муниципальный район расположен в центральной части Ханты-Мансийского автономного округа – Югры, граничит на северо-востоке с Сургутским районом, на юге – с Тюменской областью, на западе – с Ханты-Мансийским районом.</w:t>
      </w:r>
      <w:r>
        <w:t xml:space="preserve"> </w:t>
      </w:r>
      <w:r w:rsidRPr="00601AC6">
        <w:t>Нефтеюганский район приравнен к районам Крайнего Севера.</w:t>
      </w:r>
    </w:p>
    <w:p w14:paraId="2DBF73FF" w14:textId="77777777" w:rsidR="009D029D" w:rsidRDefault="009D029D" w:rsidP="00A93D7F">
      <w:r w:rsidRPr="00E83581">
        <w:rPr>
          <w:rStyle w:val="dropcap"/>
        </w:rPr>
        <w:t xml:space="preserve">На территории района расположены крупные города, которые административно не относятся к району и являются самостоятельными городскими округами </w:t>
      </w:r>
      <w:r w:rsidRPr="00E83581">
        <w:t>–</w:t>
      </w:r>
      <w:r w:rsidRPr="00E83581">
        <w:rPr>
          <w:rStyle w:val="dropcap"/>
        </w:rPr>
        <w:t xml:space="preserve"> г. Пыть-Ях и </w:t>
      </w:r>
      <w:r w:rsidRPr="00E83581">
        <w:t xml:space="preserve">административный центр района </w:t>
      </w:r>
      <w:r w:rsidRPr="00E83581">
        <w:rPr>
          <w:rStyle w:val="dropcap"/>
        </w:rPr>
        <w:t xml:space="preserve">г. Нефтеюганск. </w:t>
      </w:r>
      <w:r w:rsidRPr="00E83581">
        <w:t>Нефтеюганский муниципальный район состоит из 8 муниципальных образований (1 городское поселение и 7 сельских поселений), в границах района расположены 11 населенных пунктов (поселок городского типа Пойковский и 10 поселков сельского типа).</w:t>
      </w:r>
    </w:p>
    <w:p w14:paraId="24D1D5C1" w14:textId="77777777" w:rsidR="009D029D" w:rsidRDefault="009D029D" w:rsidP="00A93D7F">
      <w:r w:rsidRPr="00E83581">
        <w:t>Нефтеюганский район</w:t>
      </w:r>
      <w:r>
        <w:t xml:space="preserve"> является один из самых небольших по площади районов </w:t>
      </w:r>
      <w:r w:rsidRPr="00E83581">
        <w:t>Ханты</w:t>
      </w:r>
      <w:r>
        <w:t>-Мансийского автономного округа, о</w:t>
      </w:r>
      <w:r w:rsidRPr="008B6067">
        <w:t>бщая площадь земель в административных границах Нефтеюганского района составляет 2 454,8 тыс. га</w:t>
      </w:r>
      <w:r>
        <w:t>. О</w:t>
      </w:r>
      <w:r w:rsidRPr="008B6067">
        <w:t xml:space="preserve">сновную часть территории занимают земли лесного фонда, переданные в управление субъекту (91,0% земельного фонда района). </w:t>
      </w:r>
      <w:r>
        <w:t>П</w:t>
      </w:r>
      <w:r w:rsidRPr="008B6067">
        <w:t xml:space="preserve">редоставление земельных участков осуществляется </w:t>
      </w:r>
      <w:r>
        <w:t xml:space="preserve">преимущественно </w:t>
      </w:r>
      <w:r w:rsidRPr="008B6067">
        <w:t>из земель промышленного и сельскохозяйственного назначения, земель населенных пунктов, а также при переводе земель из категории запаса в другие категории.</w:t>
      </w:r>
      <w:r>
        <w:t xml:space="preserve"> </w:t>
      </w:r>
    </w:p>
    <w:p w14:paraId="210217F8" w14:textId="77777777" w:rsidR="009D029D" w:rsidRPr="003B29D5" w:rsidRDefault="009D029D" w:rsidP="00A93D7F"/>
    <w:p w14:paraId="33D80C4C" w14:textId="77777777" w:rsidR="009D029D" w:rsidRDefault="009D029D" w:rsidP="00A93D7F">
      <w:pPr>
        <w:pStyle w:val="ac"/>
      </w:pPr>
      <w:r w:rsidRPr="009D029D">
        <w:t xml:space="preserve">Таблица </w:t>
      </w:r>
      <w:fldSimple w:instr=" SEQ Таблица \* ARABIC ">
        <w:r w:rsidR="00ED1BAA">
          <w:rPr>
            <w:noProof/>
          </w:rPr>
          <w:t>3</w:t>
        </w:r>
      </w:fldSimple>
    </w:p>
    <w:p w14:paraId="685E4A2D" w14:textId="34275195" w:rsidR="009D029D" w:rsidRPr="009D029D" w:rsidRDefault="009D029D" w:rsidP="00A93D7F">
      <w:pPr>
        <w:pStyle w:val="ac"/>
      </w:pPr>
      <w:r w:rsidRPr="009D029D">
        <w:t>Наличие и распределение земельных ресурсов Нефтеюганского района по категориям земель в 2016 г.</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2204"/>
        <w:gridCol w:w="2061"/>
      </w:tblGrid>
      <w:tr w:rsidR="009D029D" w:rsidRPr="008A687B" w14:paraId="5EE8EF9B" w14:textId="77777777" w:rsidTr="00E60BEB">
        <w:trPr>
          <w:trHeight w:val="407"/>
          <w:jc w:val="center"/>
        </w:trPr>
        <w:tc>
          <w:tcPr>
            <w:tcW w:w="4879" w:type="dxa"/>
            <w:vAlign w:val="center"/>
          </w:tcPr>
          <w:p w14:paraId="04508C53" w14:textId="77777777" w:rsidR="009D029D" w:rsidRPr="008A687B" w:rsidRDefault="009D029D" w:rsidP="00391462">
            <w:pPr>
              <w:pStyle w:val="af7"/>
            </w:pPr>
            <w:r w:rsidRPr="008A687B">
              <w:t>Наименование категории</w:t>
            </w:r>
          </w:p>
        </w:tc>
        <w:tc>
          <w:tcPr>
            <w:tcW w:w="2204" w:type="dxa"/>
            <w:vAlign w:val="center"/>
          </w:tcPr>
          <w:p w14:paraId="2123F5D1" w14:textId="77777777" w:rsidR="009D029D" w:rsidRPr="008A687B" w:rsidRDefault="009D029D" w:rsidP="00391462">
            <w:pPr>
              <w:pStyle w:val="af7"/>
              <w:jc w:val="center"/>
            </w:pPr>
            <w:r w:rsidRPr="008A687B">
              <w:t>Площадь, га</w:t>
            </w:r>
          </w:p>
        </w:tc>
        <w:tc>
          <w:tcPr>
            <w:tcW w:w="2061" w:type="dxa"/>
            <w:vAlign w:val="center"/>
          </w:tcPr>
          <w:p w14:paraId="7B9A0619" w14:textId="77777777" w:rsidR="009D029D" w:rsidRPr="008A687B" w:rsidRDefault="009D029D" w:rsidP="00391462">
            <w:pPr>
              <w:pStyle w:val="af7"/>
              <w:jc w:val="center"/>
            </w:pPr>
            <w:r w:rsidRPr="008A687B">
              <w:t>Удельный вес, %</w:t>
            </w:r>
          </w:p>
        </w:tc>
      </w:tr>
      <w:tr w:rsidR="009D029D" w:rsidRPr="008A687B" w14:paraId="4DA91B24" w14:textId="77777777" w:rsidTr="00E60BEB">
        <w:trPr>
          <w:trHeight w:val="358"/>
          <w:jc w:val="center"/>
        </w:trPr>
        <w:tc>
          <w:tcPr>
            <w:tcW w:w="4879" w:type="dxa"/>
            <w:vAlign w:val="center"/>
          </w:tcPr>
          <w:p w14:paraId="293CF755" w14:textId="77777777" w:rsidR="009D029D" w:rsidRPr="008A687B" w:rsidRDefault="009D029D" w:rsidP="00391462">
            <w:pPr>
              <w:pStyle w:val="af7"/>
            </w:pPr>
            <w:r w:rsidRPr="008A687B">
              <w:t>Земли сельскохозяйственного назначения</w:t>
            </w:r>
          </w:p>
        </w:tc>
        <w:tc>
          <w:tcPr>
            <w:tcW w:w="2204" w:type="dxa"/>
            <w:vAlign w:val="center"/>
          </w:tcPr>
          <w:p w14:paraId="22E9528B" w14:textId="77777777" w:rsidR="009D029D" w:rsidRPr="008A687B" w:rsidRDefault="009D029D" w:rsidP="00391462">
            <w:pPr>
              <w:pStyle w:val="af7"/>
              <w:jc w:val="center"/>
            </w:pPr>
            <w:r w:rsidRPr="008A687B">
              <w:t>23 005</w:t>
            </w:r>
          </w:p>
        </w:tc>
        <w:tc>
          <w:tcPr>
            <w:tcW w:w="2061" w:type="dxa"/>
            <w:vAlign w:val="center"/>
          </w:tcPr>
          <w:p w14:paraId="6C107017" w14:textId="79B0BA3A" w:rsidR="009D029D" w:rsidRPr="008A687B" w:rsidRDefault="009D029D" w:rsidP="00391462">
            <w:pPr>
              <w:pStyle w:val="af7"/>
              <w:jc w:val="center"/>
            </w:pPr>
            <w:r w:rsidRPr="008A687B">
              <w:t>0,93</w:t>
            </w:r>
            <w:r w:rsidR="003C2891">
              <w:t>%</w:t>
            </w:r>
          </w:p>
        </w:tc>
      </w:tr>
      <w:tr w:rsidR="009D029D" w:rsidRPr="008A687B" w14:paraId="058384A9" w14:textId="77777777" w:rsidTr="00E60BEB">
        <w:trPr>
          <w:trHeight w:val="358"/>
          <w:jc w:val="center"/>
        </w:trPr>
        <w:tc>
          <w:tcPr>
            <w:tcW w:w="4879" w:type="dxa"/>
            <w:vAlign w:val="center"/>
          </w:tcPr>
          <w:p w14:paraId="6B83066C" w14:textId="77777777" w:rsidR="009D029D" w:rsidRPr="008A687B" w:rsidRDefault="009D029D" w:rsidP="00391462">
            <w:pPr>
              <w:pStyle w:val="af7"/>
            </w:pPr>
            <w:r w:rsidRPr="008A687B">
              <w:t>Земли населенных пунктов</w:t>
            </w:r>
          </w:p>
        </w:tc>
        <w:tc>
          <w:tcPr>
            <w:tcW w:w="2204" w:type="dxa"/>
            <w:vAlign w:val="center"/>
          </w:tcPr>
          <w:p w14:paraId="1C9A4EFA" w14:textId="77777777" w:rsidR="009D029D" w:rsidRPr="008A687B" w:rsidRDefault="009D029D" w:rsidP="00391462">
            <w:pPr>
              <w:pStyle w:val="af7"/>
              <w:jc w:val="center"/>
            </w:pPr>
            <w:r w:rsidRPr="008A687B">
              <w:t>25 013</w:t>
            </w:r>
          </w:p>
        </w:tc>
        <w:tc>
          <w:tcPr>
            <w:tcW w:w="2061" w:type="dxa"/>
            <w:vAlign w:val="center"/>
          </w:tcPr>
          <w:p w14:paraId="66D49C78" w14:textId="0BE52ED2" w:rsidR="009D029D" w:rsidRPr="008A687B" w:rsidRDefault="009D029D" w:rsidP="00391462">
            <w:pPr>
              <w:pStyle w:val="af7"/>
              <w:jc w:val="center"/>
            </w:pPr>
            <w:r w:rsidRPr="008A687B">
              <w:t>1,01</w:t>
            </w:r>
            <w:r w:rsidR="003C2891">
              <w:t>%</w:t>
            </w:r>
          </w:p>
        </w:tc>
      </w:tr>
      <w:tr w:rsidR="009D029D" w:rsidRPr="008A687B" w14:paraId="7428D02F" w14:textId="77777777" w:rsidTr="00E60BEB">
        <w:trPr>
          <w:trHeight w:val="358"/>
          <w:jc w:val="center"/>
        </w:trPr>
        <w:tc>
          <w:tcPr>
            <w:tcW w:w="4879" w:type="dxa"/>
            <w:vAlign w:val="center"/>
          </w:tcPr>
          <w:p w14:paraId="2184EB70" w14:textId="77777777" w:rsidR="009D029D" w:rsidRPr="008A687B" w:rsidRDefault="009D029D" w:rsidP="00391462">
            <w:pPr>
              <w:pStyle w:val="af7"/>
            </w:pPr>
            <w:r w:rsidRPr="008A687B">
              <w:t>Земли промышленности</w:t>
            </w:r>
          </w:p>
        </w:tc>
        <w:tc>
          <w:tcPr>
            <w:tcW w:w="2204" w:type="dxa"/>
            <w:vAlign w:val="center"/>
          </w:tcPr>
          <w:p w14:paraId="0348E954" w14:textId="77777777" w:rsidR="009D029D" w:rsidRPr="008A687B" w:rsidRDefault="009D029D" w:rsidP="00391462">
            <w:pPr>
              <w:pStyle w:val="af7"/>
              <w:jc w:val="center"/>
            </w:pPr>
            <w:r w:rsidRPr="008A687B">
              <w:t>168 203</w:t>
            </w:r>
          </w:p>
        </w:tc>
        <w:tc>
          <w:tcPr>
            <w:tcW w:w="2061" w:type="dxa"/>
            <w:vAlign w:val="center"/>
          </w:tcPr>
          <w:p w14:paraId="1F2BF37D" w14:textId="7241E98E" w:rsidR="009D029D" w:rsidRPr="008A687B" w:rsidRDefault="009D029D" w:rsidP="00391462">
            <w:pPr>
              <w:pStyle w:val="af7"/>
              <w:jc w:val="center"/>
            </w:pPr>
            <w:r w:rsidRPr="008A687B">
              <w:t>6,85</w:t>
            </w:r>
            <w:r w:rsidR="003C2891">
              <w:t>%</w:t>
            </w:r>
          </w:p>
        </w:tc>
      </w:tr>
      <w:tr w:rsidR="009D029D" w:rsidRPr="008A687B" w14:paraId="57AA9AF0" w14:textId="77777777" w:rsidTr="00E60BEB">
        <w:trPr>
          <w:trHeight w:val="358"/>
          <w:jc w:val="center"/>
        </w:trPr>
        <w:tc>
          <w:tcPr>
            <w:tcW w:w="4879" w:type="dxa"/>
            <w:vAlign w:val="center"/>
          </w:tcPr>
          <w:p w14:paraId="5CC7A0BF" w14:textId="77777777" w:rsidR="009D029D" w:rsidRPr="008A687B" w:rsidRDefault="009D029D" w:rsidP="00391462">
            <w:pPr>
              <w:pStyle w:val="af7"/>
            </w:pPr>
            <w:r w:rsidRPr="008A687B">
              <w:t>Земли особо охраняемых территорий</w:t>
            </w:r>
          </w:p>
        </w:tc>
        <w:tc>
          <w:tcPr>
            <w:tcW w:w="2204" w:type="dxa"/>
            <w:vAlign w:val="center"/>
          </w:tcPr>
          <w:p w14:paraId="716E9B05" w14:textId="77777777" w:rsidR="009D029D" w:rsidRPr="008A687B" w:rsidRDefault="009D029D" w:rsidP="00391462">
            <w:pPr>
              <w:pStyle w:val="af7"/>
              <w:jc w:val="center"/>
            </w:pPr>
            <w:r w:rsidRPr="008A687B">
              <w:t>107</w:t>
            </w:r>
          </w:p>
        </w:tc>
        <w:tc>
          <w:tcPr>
            <w:tcW w:w="2061" w:type="dxa"/>
            <w:vAlign w:val="center"/>
          </w:tcPr>
          <w:p w14:paraId="3B3E14A4" w14:textId="65A9E06C" w:rsidR="009D029D" w:rsidRPr="008A687B" w:rsidRDefault="009D029D" w:rsidP="00391462">
            <w:pPr>
              <w:pStyle w:val="af7"/>
              <w:jc w:val="center"/>
            </w:pPr>
            <w:r w:rsidRPr="008A687B">
              <w:t>0,005</w:t>
            </w:r>
            <w:r w:rsidR="003C2891">
              <w:t>%</w:t>
            </w:r>
          </w:p>
        </w:tc>
      </w:tr>
      <w:tr w:rsidR="009D029D" w:rsidRPr="008A687B" w14:paraId="0674D15C" w14:textId="77777777" w:rsidTr="00E60BEB">
        <w:trPr>
          <w:trHeight w:val="358"/>
          <w:jc w:val="center"/>
        </w:trPr>
        <w:tc>
          <w:tcPr>
            <w:tcW w:w="4879" w:type="dxa"/>
            <w:vAlign w:val="center"/>
          </w:tcPr>
          <w:p w14:paraId="4706CE57" w14:textId="77777777" w:rsidR="009D029D" w:rsidRPr="008A687B" w:rsidRDefault="009D029D" w:rsidP="00391462">
            <w:pPr>
              <w:pStyle w:val="af7"/>
            </w:pPr>
            <w:r w:rsidRPr="008A687B">
              <w:t>Земли лесного фонда</w:t>
            </w:r>
          </w:p>
        </w:tc>
        <w:tc>
          <w:tcPr>
            <w:tcW w:w="2204" w:type="dxa"/>
            <w:vAlign w:val="center"/>
          </w:tcPr>
          <w:p w14:paraId="6B26C1AF" w14:textId="77777777" w:rsidR="009D029D" w:rsidRPr="008A687B" w:rsidRDefault="009D029D" w:rsidP="00391462">
            <w:pPr>
              <w:pStyle w:val="af7"/>
              <w:jc w:val="center"/>
            </w:pPr>
            <w:r w:rsidRPr="008A687B">
              <w:t>2 233 633</w:t>
            </w:r>
          </w:p>
        </w:tc>
        <w:tc>
          <w:tcPr>
            <w:tcW w:w="2061" w:type="dxa"/>
            <w:vAlign w:val="center"/>
          </w:tcPr>
          <w:p w14:paraId="48E14DDC" w14:textId="4113888B" w:rsidR="009D029D" w:rsidRPr="008A687B" w:rsidRDefault="009D029D" w:rsidP="00391462">
            <w:pPr>
              <w:pStyle w:val="af7"/>
              <w:jc w:val="center"/>
            </w:pPr>
            <w:r w:rsidRPr="008A687B">
              <w:t>90,99</w:t>
            </w:r>
            <w:r w:rsidR="003C2891">
              <w:t>%</w:t>
            </w:r>
          </w:p>
        </w:tc>
      </w:tr>
      <w:tr w:rsidR="009D029D" w:rsidRPr="008A687B" w14:paraId="2C6C555F" w14:textId="77777777" w:rsidTr="00E60BEB">
        <w:trPr>
          <w:trHeight w:val="358"/>
          <w:jc w:val="center"/>
        </w:trPr>
        <w:tc>
          <w:tcPr>
            <w:tcW w:w="4879" w:type="dxa"/>
            <w:vAlign w:val="center"/>
          </w:tcPr>
          <w:p w14:paraId="4A906121" w14:textId="77777777" w:rsidR="009D029D" w:rsidRPr="008A687B" w:rsidRDefault="009D029D" w:rsidP="00391462">
            <w:pPr>
              <w:pStyle w:val="af7"/>
            </w:pPr>
            <w:r w:rsidRPr="008A687B">
              <w:t>Земли водного фонда</w:t>
            </w:r>
          </w:p>
        </w:tc>
        <w:tc>
          <w:tcPr>
            <w:tcW w:w="2204" w:type="dxa"/>
            <w:vAlign w:val="center"/>
          </w:tcPr>
          <w:p w14:paraId="1FEB1D5C" w14:textId="77777777" w:rsidR="009D029D" w:rsidRPr="008A687B" w:rsidRDefault="009D029D" w:rsidP="00391462">
            <w:pPr>
              <w:pStyle w:val="af7"/>
              <w:jc w:val="center"/>
            </w:pPr>
            <w:r w:rsidRPr="008A687B">
              <w:t>594</w:t>
            </w:r>
          </w:p>
        </w:tc>
        <w:tc>
          <w:tcPr>
            <w:tcW w:w="2061" w:type="dxa"/>
            <w:vAlign w:val="center"/>
          </w:tcPr>
          <w:p w14:paraId="19D21B41" w14:textId="256A1942" w:rsidR="009D029D" w:rsidRPr="008A687B" w:rsidRDefault="009D029D" w:rsidP="00391462">
            <w:pPr>
              <w:pStyle w:val="af7"/>
              <w:jc w:val="center"/>
            </w:pPr>
            <w:r w:rsidRPr="008A687B">
              <w:t>0,024</w:t>
            </w:r>
            <w:r w:rsidR="003C2891">
              <w:t>%</w:t>
            </w:r>
          </w:p>
        </w:tc>
      </w:tr>
      <w:tr w:rsidR="009D029D" w:rsidRPr="008A687B" w14:paraId="034CCF46" w14:textId="77777777" w:rsidTr="00E60BEB">
        <w:trPr>
          <w:trHeight w:val="349"/>
          <w:jc w:val="center"/>
        </w:trPr>
        <w:tc>
          <w:tcPr>
            <w:tcW w:w="4879" w:type="dxa"/>
            <w:vAlign w:val="center"/>
          </w:tcPr>
          <w:p w14:paraId="5313DF4C" w14:textId="77777777" w:rsidR="009D029D" w:rsidRPr="008A687B" w:rsidRDefault="009D029D" w:rsidP="00391462">
            <w:pPr>
              <w:pStyle w:val="af7"/>
            </w:pPr>
            <w:r w:rsidRPr="008A687B">
              <w:t>Земли запаса</w:t>
            </w:r>
          </w:p>
        </w:tc>
        <w:tc>
          <w:tcPr>
            <w:tcW w:w="2204" w:type="dxa"/>
            <w:vAlign w:val="center"/>
          </w:tcPr>
          <w:p w14:paraId="3C6A52E2" w14:textId="77777777" w:rsidR="009D029D" w:rsidRPr="008A687B" w:rsidRDefault="009D029D" w:rsidP="00391462">
            <w:pPr>
              <w:pStyle w:val="af7"/>
              <w:jc w:val="center"/>
            </w:pPr>
            <w:r w:rsidRPr="008A687B">
              <w:t>4 246</w:t>
            </w:r>
          </w:p>
        </w:tc>
        <w:tc>
          <w:tcPr>
            <w:tcW w:w="2061" w:type="dxa"/>
            <w:vAlign w:val="center"/>
          </w:tcPr>
          <w:p w14:paraId="55FA6DA2" w14:textId="7257CDDE" w:rsidR="009D029D" w:rsidRPr="008A687B" w:rsidRDefault="009D029D" w:rsidP="00391462">
            <w:pPr>
              <w:pStyle w:val="af7"/>
              <w:jc w:val="center"/>
            </w:pPr>
            <w:r w:rsidRPr="008A687B">
              <w:t>0,17</w:t>
            </w:r>
            <w:r w:rsidR="003C2891">
              <w:t>%</w:t>
            </w:r>
          </w:p>
        </w:tc>
      </w:tr>
      <w:tr w:rsidR="009D029D" w:rsidRPr="008A687B" w14:paraId="4FB2E1C5" w14:textId="77777777" w:rsidTr="00E60BEB">
        <w:trPr>
          <w:trHeight w:val="334"/>
          <w:jc w:val="center"/>
        </w:trPr>
        <w:tc>
          <w:tcPr>
            <w:tcW w:w="4879" w:type="dxa"/>
            <w:vAlign w:val="center"/>
          </w:tcPr>
          <w:p w14:paraId="34B867BA" w14:textId="77777777" w:rsidR="009D029D" w:rsidRPr="00A41840" w:rsidRDefault="009D029D" w:rsidP="00391462">
            <w:pPr>
              <w:pStyle w:val="af7"/>
            </w:pPr>
            <w:r w:rsidRPr="00A41840">
              <w:t>Итого</w:t>
            </w:r>
          </w:p>
        </w:tc>
        <w:tc>
          <w:tcPr>
            <w:tcW w:w="2204" w:type="dxa"/>
            <w:vAlign w:val="center"/>
          </w:tcPr>
          <w:p w14:paraId="2170265D" w14:textId="77777777" w:rsidR="009D029D" w:rsidRPr="00A41840" w:rsidRDefault="009D029D" w:rsidP="00391462">
            <w:pPr>
              <w:pStyle w:val="af7"/>
              <w:jc w:val="center"/>
            </w:pPr>
            <w:r w:rsidRPr="00A41840">
              <w:t>2 454 801</w:t>
            </w:r>
          </w:p>
        </w:tc>
        <w:tc>
          <w:tcPr>
            <w:tcW w:w="2061" w:type="dxa"/>
            <w:vAlign w:val="center"/>
          </w:tcPr>
          <w:p w14:paraId="667C7574" w14:textId="77777777" w:rsidR="009D029D" w:rsidRPr="00A41840" w:rsidRDefault="009D029D" w:rsidP="00391462">
            <w:pPr>
              <w:pStyle w:val="af7"/>
              <w:jc w:val="center"/>
            </w:pPr>
            <w:r w:rsidRPr="00A41840">
              <w:t>100</w:t>
            </w:r>
          </w:p>
        </w:tc>
      </w:tr>
    </w:tbl>
    <w:p w14:paraId="1C8C1B5C" w14:textId="77777777" w:rsidR="009D029D" w:rsidRPr="00391462" w:rsidRDefault="009D029D" w:rsidP="00A93D7F">
      <w:pPr>
        <w:rPr>
          <w:sz w:val="20"/>
          <w:szCs w:val="20"/>
        </w:rPr>
      </w:pPr>
      <w:r w:rsidRPr="00391462">
        <w:rPr>
          <w:sz w:val="20"/>
          <w:szCs w:val="20"/>
        </w:rPr>
        <w:t>Источник: Росстат</w:t>
      </w:r>
    </w:p>
    <w:p w14:paraId="46025543" w14:textId="77777777" w:rsidR="009D029D" w:rsidRDefault="009D029D" w:rsidP="00A93D7F"/>
    <w:p w14:paraId="628DD80F" w14:textId="77777777" w:rsidR="009D029D" w:rsidRDefault="009D029D" w:rsidP="00A93D7F">
      <w:pPr>
        <w:rPr>
          <w:rStyle w:val="dropcap"/>
          <w:i/>
        </w:rPr>
      </w:pPr>
      <w:r>
        <w:rPr>
          <w:rStyle w:val="dropcap"/>
          <w:i/>
        </w:rPr>
        <w:t>Лесные ресурсы</w:t>
      </w:r>
    </w:p>
    <w:p w14:paraId="76A6A6CA" w14:textId="77777777" w:rsidR="009D029D" w:rsidRDefault="009D029D" w:rsidP="00A93D7F">
      <w:r w:rsidRPr="00417FC0">
        <w:t>Общая площадь ле</w:t>
      </w:r>
      <w:r>
        <w:t xml:space="preserve">сных угодий района составляет </w:t>
      </w:r>
      <w:r w:rsidRPr="00417FC0">
        <w:t xml:space="preserve">2 </w:t>
      </w:r>
      <w:r>
        <w:t xml:space="preserve">233,6 тыс. </w:t>
      </w:r>
      <w:r w:rsidRPr="00664700">
        <w:t>га</w:t>
      </w:r>
      <w:r w:rsidRPr="00417FC0">
        <w:t xml:space="preserve">, </w:t>
      </w:r>
      <w:r>
        <w:t>л</w:t>
      </w:r>
      <w:r w:rsidRPr="00417FC0">
        <w:t xml:space="preserve">есистость территории </w:t>
      </w:r>
      <w:r>
        <w:t>– 64,3</w:t>
      </w:r>
      <w:r w:rsidRPr="00417FC0">
        <w:t>%. Нефтеюганский район относит</w:t>
      </w:r>
      <w:r>
        <w:t>ся к Нефтеюганскому лесничеству, в состав которого входит 6</w:t>
      </w:r>
      <w:r>
        <w:rPr>
          <w:lang w:val="en-US"/>
        </w:rPr>
        <w:t> </w:t>
      </w:r>
      <w:r w:rsidRPr="00417FC0">
        <w:t>участковых лесничеств: Лемпинское (площадь 395 877 га), Нефтеюганское (площадь 266 816 га), Юнг-Яхское (площадь 376 401 га), Пыв</w:t>
      </w:r>
      <w:r>
        <w:t>ъ</w:t>
      </w:r>
      <w:r w:rsidRPr="00417FC0">
        <w:t xml:space="preserve">-Яхское (площадь 370 335 га), Куть-Яхское (площадь 287 245 га), Салымское (площадь 565 397 га) участковые лесничества. </w:t>
      </w:r>
    </w:p>
    <w:p w14:paraId="7259906F" w14:textId="77777777" w:rsidR="009D029D" w:rsidRDefault="009D029D" w:rsidP="00A93D7F">
      <w:r w:rsidRPr="00417FC0">
        <w:t xml:space="preserve">Лесные насаждения представлены </w:t>
      </w:r>
      <w:r>
        <w:t>преимущественно хвойными породами:</w:t>
      </w:r>
      <w:r w:rsidRPr="00417FC0">
        <w:t xml:space="preserve"> на долю сосны и</w:t>
      </w:r>
      <w:r>
        <w:t xml:space="preserve"> кедра приходится 53% лесопокрытой площади. М</w:t>
      </w:r>
      <w:r w:rsidRPr="00417FC0">
        <w:t xml:space="preserve">ягколиственные насаждения в </w:t>
      </w:r>
      <w:r w:rsidRPr="00417FC0">
        <w:lastRenderedPageBreak/>
        <w:t xml:space="preserve">основном </w:t>
      </w:r>
      <w:r>
        <w:t>состоят из березы и осины (41,9</w:t>
      </w:r>
      <w:r w:rsidRPr="00417FC0">
        <w:t>% от лесопокрытой площади).</w:t>
      </w:r>
      <w:r>
        <w:t xml:space="preserve"> На территории района перспективы развития имеет промысловая деятельность: охотничий промысел и сбор </w:t>
      </w:r>
      <w:r w:rsidRPr="001D50BB">
        <w:t>дикоросов</w:t>
      </w:r>
      <w:r>
        <w:t xml:space="preserve"> (кедровых орехов, брусники, клюквы, черники). По эксплуатационным запасам дикоросов на территории Нефтеюганского района лидируют Лемпинское и Юнг-Яхское лесничества, расположенные в северной части района, и Салымское лесничество на юге территории. </w:t>
      </w:r>
      <w:r w:rsidRPr="001D50BB">
        <w:t>Слабое развитие орехопромысла</w:t>
      </w:r>
      <w:r>
        <w:t xml:space="preserve"> и сбора дикоросов</w:t>
      </w:r>
      <w:r w:rsidRPr="001D50BB">
        <w:t xml:space="preserve"> обусловлено </w:t>
      </w:r>
      <w:r>
        <w:t>невысокой</w:t>
      </w:r>
      <w:r w:rsidRPr="001D50BB">
        <w:t xml:space="preserve"> продуктивность</w:t>
      </w:r>
      <w:r>
        <w:t>ю кедровников</w:t>
      </w:r>
      <w:r w:rsidRPr="001D50BB">
        <w:t xml:space="preserve"> (10</w:t>
      </w:r>
      <w:r>
        <w:t>-</w:t>
      </w:r>
      <w:r w:rsidRPr="001D50BB">
        <w:t xml:space="preserve">100 кг/га), </w:t>
      </w:r>
      <w:r>
        <w:t>а также низкой транспортной доступностью</w:t>
      </w:r>
      <w:r w:rsidRPr="001D50BB">
        <w:t>.</w:t>
      </w:r>
    </w:p>
    <w:p w14:paraId="637189F6" w14:textId="77777777" w:rsidR="009D029D" w:rsidRPr="005D669D" w:rsidRDefault="009D029D" w:rsidP="00A93D7F">
      <w:pPr>
        <w:rPr>
          <w:rStyle w:val="dropcap"/>
        </w:rPr>
      </w:pPr>
    </w:p>
    <w:p w14:paraId="7106F8AB" w14:textId="77777777" w:rsidR="009D029D" w:rsidRPr="00FE14F2" w:rsidRDefault="009D029D" w:rsidP="00A93D7F">
      <w:pPr>
        <w:rPr>
          <w:rStyle w:val="dropcap"/>
          <w:i/>
        </w:rPr>
      </w:pPr>
      <w:r w:rsidRPr="00FE14F2">
        <w:rPr>
          <w:rStyle w:val="dropcap"/>
          <w:i/>
        </w:rPr>
        <w:t>Водные ресурсы</w:t>
      </w:r>
    </w:p>
    <w:p w14:paraId="337EAC30" w14:textId="77777777" w:rsidR="009D029D" w:rsidRPr="00DA4C50" w:rsidRDefault="009D029D" w:rsidP="00A93D7F">
      <w:r w:rsidRPr="00DA4C50">
        <w:rPr>
          <w:rStyle w:val="dropcap"/>
        </w:rPr>
        <w:t xml:space="preserve">Территория района имеет развитую сеть рек и озер. Основными реками являются Большой и Малый Салым, Большой и Малый Балык, Юганская Обь, для </w:t>
      </w:r>
      <w:r w:rsidRPr="00DA4C50">
        <w:t>всех рек характерно длительное половодье в весенне-летний период – один из факторов переувлажнения и заболачивания территории. Нефтеюганский район расположен на территории Салым-Юганского озерного района и насчитывает в своем составе несколько тысяч озер. Водные ресурсы определяют развитие рыбной ловли на территории района, основными зонами рыболовства являются Протока Большая Юганская (с.п. Усть-Юган), верховья р. Большой Салым (</w:t>
      </w:r>
      <w:r>
        <w:t>с.п. Салым) и верховья рек Таутъ</w:t>
      </w:r>
      <w:r w:rsidRPr="00DA4C50">
        <w:t xml:space="preserve">ях, Малый Салым, Пывъях и Вандрас, расположенные в центральной части района. </w:t>
      </w:r>
    </w:p>
    <w:p w14:paraId="1DA06EDA" w14:textId="77777777" w:rsidR="009D029D" w:rsidRDefault="009D029D" w:rsidP="00A93D7F">
      <w:r w:rsidRPr="00F132DA">
        <w:t>В Нефтеюганском районе 5 крупных месторождений (участков) пресных подземных вод: Нефтеюганское, Пыть-Яхское месторождения и Пойковский участок принадлежат атлымскому водоносному горизонту, Излучинское и Мамантовское месторождения – атлым-михайловскому водоносному горизонту. Доля подземных вод в балансе хозяйственно-питьевого водоснабжения в Нефтеюганском районе составляет 95%.  Утвержденные запасы пресных подземных вод составляют 127 тыс. м</w:t>
      </w:r>
      <w:r w:rsidRPr="00F132DA">
        <w:rPr>
          <w:vertAlign w:val="superscript"/>
        </w:rPr>
        <w:t>3</w:t>
      </w:r>
      <w:r w:rsidRPr="00F132DA">
        <w:t>/сут., имеющиеся ресурсы подземных вод позволяют строить водозаборы производительностью до 100 тыс. м</w:t>
      </w:r>
      <w:r w:rsidRPr="00F132DA">
        <w:rPr>
          <w:vertAlign w:val="superscript"/>
        </w:rPr>
        <w:t>3</w:t>
      </w:r>
      <w:r w:rsidRPr="00F132DA">
        <w:t>/сут. при суточном отборе пресной воды из подземных водных объектов  на нужды населения района равном 32,35 тыс. м</w:t>
      </w:r>
      <w:r w:rsidRPr="00F132DA">
        <w:rPr>
          <w:vertAlign w:val="superscript"/>
        </w:rPr>
        <w:t>3</w:t>
      </w:r>
      <w:r w:rsidRPr="00F132DA">
        <w:t>/сут. (57,31 тыс.м</w:t>
      </w:r>
      <w:r w:rsidRPr="00F132DA">
        <w:rPr>
          <w:vertAlign w:val="superscript"/>
        </w:rPr>
        <w:t>3</w:t>
      </w:r>
      <w:r w:rsidRPr="00F132DA">
        <w:t>/сутки с учетом потребления г.</w:t>
      </w:r>
      <w:r w:rsidRPr="00F132DA">
        <w:rPr>
          <w:lang w:val="en-US"/>
        </w:rPr>
        <w:t> </w:t>
      </w:r>
      <w:r w:rsidRPr="00F132DA">
        <w:t>Нефтеюганска). Обеспеченность населения пресными подземными водами по утвержденным эксплуатационным запасам составляет 0,69 м</w:t>
      </w:r>
      <w:r w:rsidRPr="00F132DA">
        <w:rPr>
          <w:vertAlign w:val="superscript"/>
        </w:rPr>
        <w:t>3</w:t>
      </w:r>
      <w:r w:rsidRPr="00F132DA">
        <w:t xml:space="preserve">/сут. </w:t>
      </w:r>
    </w:p>
    <w:p w14:paraId="2EC96AA0" w14:textId="77777777" w:rsidR="009D029D" w:rsidRDefault="009D029D" w:rsidP="00A93D7F"/>
    <w:p w14:paraId="000C5645" w14:textId="77777777" w:rsidR="009D029D" w:rsidRPr="00391462" w:rsidRDefault="009D029D" w:rsidP="00A93D7F">
      <w:pPr>
        <w:rPr>
          <w:i/>
        </w:rPr>
      </w:pPr>
      <w:r w:rsidRPr="00391462">
        <w:rPr>
          <w:i/>
        </w:rPr>
        <w:t>Минерально-сырьевые ресурсы</w:t>
      </w:r>
    </w:p>
    <w:p w14:paraId="745635E2" w14:textId="77777777" w:rsidR="009D029D" w:rsidRDefault="009D029D" w:rsidP="00A93D7F">
      <w:r w:rsidRPr="00417FC0">
        <w:t xml:space="preserve">Нефтеюганский район входит в </w:t>
      </w:r>
      <w:r>
        <w:t>число лидеров (после Сургутского, Нижневартовского и</w:t>
      </w:r>
      <w:r w:rsidRPr="00417FC0">
        <w:t xml:space="preserve"> Ханты-Мансийского районов) по запасам и добыче углеводородного сырья</w:t>
      </w:r>
      <w:r>
        <w:t xml:space="preserve"> в Ханты-Мансийском автономном округе – Югре, выявленные залежи составляют 47</w:t>
      </w:r>
      <w:r w:rsidRPr="00417FC0">
        <w:t xml:space="preserve">% от общего количества залежей, открытых на территории округа. </w:t>
      </w:r>
      <w:r w:rsidRPr="009126BF">
        <w:t>На территории рай</w:t>
      </w:r>
      <w:r>
        <w:t xml:space="preserve">она находится 38 месторождений, </w:t>
      </w:r>
      <w:r w:rsidRPr="009126BF">
        <w:t xml:space="preserve">3 из них входят в десятку крупнейших месторождений </w:t>
      </w:r>
      <w:r>
        <w:t>округа:</w:t>
      </w:r>
    </w:p>
    <w:p w14:paraId="2A5E0E60" w14:textId="77777777" w:rsidR="009D029D" w:rsidRDefault="009D029D" w:rsidP="00A93D7F">
      <w:pPr>
        <w:pStyle w:val="a0"/>
        <w:numPr>
          <w:ilvl w:val="0"/>
          <w:numId w:val="4"/>
        </w:numPr>
      </w:pPr>
      <w:r w:rsidRPr="009126BF">
        <w:t>Мамонтовское, с годовой добычей – 7 754 тыс. тонн; расположено рядом с городом Пыть-Ях, Запасы нефти 1,4 млрд. тонн. Залежи на глубине 1,9-2,5 км. Начальный дебит скважин до 150 тонн/сут. Плотность нефти 0,87-0,89 г/см3.</w:t>
      </w:r>
    </w:p>
    <w:p w14:paraId="755A2FF2" w14:textId="77777777" w:rsidR="009D029D" w:rsidRDefault="009D029D" w:rsidP="00A93D7F">
      <w:pPr>
        <w:pStyle w:val="a0"/>
        <w:numPr>
          <w:ilvl w:val="0"/>
          <w:numId w:val="4"/>
        </w:numPr>
      </w:pPr>
      <w:r w:rsidRPr="009126BF">
        <w:t>Мало-Балыкское, с годовой добычей – 4 873 тыс. тонн; начальные запасы нефти оцениваются 150 млн. тонн. Плотность нефти до 0,87 г/см³, содержание серы 1,20-1,90 %. Залежи юрских отложений недоразведаны.</w:t>
      </w:r>
    </w:p>
    <w:p w14:paraId="1FEE4429" w14:textId="77777777" w:rsidR="009D029D" w:rsidRDefault="009D029D" w:rsidP="00A93D7F">
      <w:pPr>
        <w:pStyle w:val="a0"/>
        <w:numPr>
          <w:ilvl w:val="0"/>
          <w:numId w:val="4"/>
        </w:numPr>
      </w:pPr>
      <w:r w:rsidRPr="009126BF">
        <w:t xml:space="preserve">Приразломное, с годовой добычей – 4 050 тыс. тонн, находится на территории Ханты-Мансийского, Сургутского и Нефтеюганского районов. </w:t>
      </w:r>
    </w:p>
    <w:p w14:paraId="12B9AC71" w14:textId="77777777" w:rsidR="009D029D" w:rsidRDefault="009D029D" w:rsidP="00A93D7F">
      <w:r>
        <w:t>Крупными</w:t>
      </w:r>
      <w:r w:rsidRPr="009126BF">
        <w:t xml:space="preserve"> месторождениям</w:t>
      </w:r>
      <w:r>
        <w:t>и также являются</w:t>
      </w:r>
      <w:r w:rsidRPr="009126BF">
        <w:t xml:space="preserve"> Правдин</w:t>
      </w:r>
      <w:r>
        <w:t xml:space="preserve">ское, Южно-Сургутское и </w:t>
      </w:r>
      <w:r w:rsidRPr="009126BF">
        <w:t xml:space="preserve">Усть-Балыкское. </w:t>
      </w:r>
    </w:p>
    <w:p w14:paraId="781932D4" w14:textId="77777777" w:rsidR="009D029D" w:rsidRPr="0055653D" w:rsidRDefault="009D029D" w:rsidP="00A93D7F">
      <w:r w:rsidRPr="0055653D">
        <w:t>Помимо минерально-строительного сырья и нефтегазовых ресурсов на территории Нефтеюганского района располагаются торфяные месторождения.</w:t>
      </w:r>
      <w:r w:rsidRPr="0055653D">
        <w:rPr>
          <w:noProof/>
        </w:rPr>
        <w:t xml:space="preserve"> Нефтеюганский район </w:t>
      </w:r>
      <w:r w:rsidRPr="0055653D">
        <w:rPr>
          <w:noProof/>
        </w:rPr>
        <w:lastRenderedPageBreak/>
        <w:t xml:space="preserve">характеризуется относительно низким показателем заторфированности территории – 28,05% (среднее значение показателя по </w:t>
      </w:r>
      <w:r w:rsidRPr="0055653D">
        <w:t xml:space="preserve">Ханты-Мансийскому АО 38,0%), при этом плотность запасов соответствует </w:t>
      </w:r>
      <w:r w:rsidRPr="0055653D">
        <w:rPr>
          <w:noProof/>
        </w:rPr>
        <w:t>среднеокружному значению – 88,8 тыс. т/км</w:t>
      </w:r>
      <w:r w:rsidRPr="0055653D">
        <w:rPr>
          <w:rFonts w:eastAsia="Times New Roman"/>
          <w:color w:val="222222"/>
          <w:shd w:val="clear" w:color="auto" w:fill="FFFFFF"/>
        </w:rPr>
        <w:t>²</w:t>
      </w:r>
      <w:r w:rsidRPr="0055653D">
        <w:rPr>
          <w:noProof/>
        </w:rPr>
        <w:t xml:space="preserve"> территории. Суммарные ресурсы торфа составляют 2 007,5 млн. т, из них 275,0 млн. т составляют перспективные для разведки месторождения. </w:t>
      </w:r>
      <w:r w:rsidRPr="0055653D">
        <w:t xml:space="preserve">В торфяных залежах преобладают </w:t>
      </w:r>
      <w:r>
        <w:t xml:space="preserve">наиболее продуктивные </w:t>
      </w:r>
      <w:r w:rsidRPr="0055653D">
        <w:t>верховые виды торфа – на их долю приходится до 78% от общих запасов торфа, на долю болот с переходными видами приходится 17%, низинные виды торфа составляют 3% общих запасов. Перспективной для выявления месторождений торфа является площадь, расположенная в междуречье Большого Салыма и Таутъяха (в северо-западной части муниципального района).</w:t>
      </w:r>
      <w:r w:rsidRPr="0055653D">
        <w:rPr>
          <w:noProof/>
        </w:rPr>
        <w:t xml:space="preserve"> </w:t>
      </w:r>
    </w:p>
    <w:p w14:paraId="79BFEFAA" w14:textId="77777777" w:rsidR="009D029D" w:rsidRDefault="009D029D" w:rsidP="00A93D7F">
      <w:r w:rsidRPr="001D50BB">
        <w:t xml:space="preserve">Почвообразующими породами </w:t>
      </w:r>
      <w:r>
        <w:t xml:space="preserve">кроме торфа </w:t>
      </w:r>
      <w:r w:rsidRPr="001D50BB">
        <w:t>служат суглинки, в том чис</w:t>
      </w:r>
      <w:r w:rsidRPr="001D50BB">
        <w:softHyphen/>
        <w:t>ле подстилаемые песками. В почвенном покрове северной части района доминируют подзолис</w:t>
      </w:r>
      <w:r>
        <w:t>то-элювиально-глееватые, южной –</w:t>
      </w:r>
      <w:r w:rsidRPr="001D50BB">
        <w:t xml:space="preserve"> сильноподзолистые со вторым гумусовым гори</w:t>
      </w:r>
      <w:r w:rsidRPr="001D50BB">
        <w:softHyphen/>
        <w:t>з</w:t>
      </w:r>
      <w:r>
        <w:t>онтом глубинноглееватые почвы. Ш</w:t>
      </w:r>
      <w:r w:rsidRPr="001D50BB">
        <w:t>ироко распространены болотные типы почв торфяно- и торфянисто-глеевые, торфянис</w:t>
      </w:r>
      <w:r>
        <w:t>то-перегнойно-глеевые, торфяные;</w:t>
      </w:r>
      <w:r w:rsidRPr="001D50BB">
        <w:t xml:space="preserve"> в пойме Оби преобладают дерново-глеевые почвы.</w:t>
      </w:r>
    </w:p>
    <w:p w14:paraId="15C68221" w14:textId="77777777" w:rsidR="009D029D" w:rsidRDefault="009D029D" w:rsidP="00A93D7F"/>
    <w:p w14:paraId="535A4850" w14:textId="77777777" w:rsidR="009D029D" w:rsidRPr="00391462" w:rsidRDefault="009D029D" w:rsidP="00A93D7F">
      <w:pPr>
        <w:rPr>
          <w:i/>
        </w:rPr>
      </w:pPr>
      <w:r w:rsidRPr="00391462">
        <w:rPr>
          <w:i/>
        </w:rPr>
        <w:t>Экологическая ситуация и природоохранная деятельность</w:t>
      </w:r>
    </w:p>
    <w:p w14:paraId="49951322" w14:textId="77777777" w:rsidR="009D029D" w:rsidRPr="005B1FFB" w:rsidRDefault="009D029D" w:rsidP="00A93D7F">
      <w:r w:rsidRPr="005B1FFB">
        <w:t>Основными причинами загрязнения атмосферного воздуха являются побочные продукты сжигания попутного нефтяного газа на факелах, испарение легких фракций углеводородов с поверхности аварийных разливов нефти и из резервуаров хранения нефти, а также объекты жилищно-коммунального комплекса и антропогенный фактор.</w:t>
      </w:r>
    </w:p>
    <w:p w14:paraId="770BD2AB" w14:textId="77777777" w:rsidR="009D029D" w:rsidRDefault="009D029D" w:rsidP="00A93D7F">
      <w:r w:rsidRPr="0007720E">
        <w:t xml:space="preserve">Из стационарных источников, расположенных на территории </w:t>
      </w:r>
      <w:r>
        <w:t>район</w:t>
      </w:r>
      <w:r w:rsidRPr="0007720E">
        <w:t>а, в 2</w:t>
      </w:r>
      <w:r>
        <w:t>016</w:t>
      </w:r>
      <w:r w:rsidRPr="0007720E">
        <w:t xml:space="preserve"> </w:t>
      </w:r>
      <w:r>
        <w:t>г.</w:t>
      </w:r>
      <w:r w:rsidRPr="0007720E">
        <w:t xml:space="preserve"> было выброшено</w:t>
      </w:r>
      <w:r>
        <w:t xml:space="preserve"> в атмосферу</w:t>
      </w:r>
      <w:r w:rsidRPr="0007720E">
        <w:t xml:space="preserve"> </w:t>
      </w:r>
      <w:r>
        <w:t xml:space="preserve">168,1 </w:t>
      </w:r>
      <w:r w:rsidRPr="0007720E">
        <w:t xml:space="preserve">тонн вредных (загрязняющих) веществ, что </w:t>
      </w:r>
      <w:r>
        <w:t>соответствует уровню выбросов в атмосферу по состоянию на 2011 г., несмотря на увеличение нефтедобычи за указанный период</w:t>
      </w:r>
      <w:r w:rsidRPr="0007720E">
        <w:t>.</w:t>
      </w:r>
      <w:r>
        <w:t xml:space="preserve"> По итогам 2016 г. вклад </w:t>
      </w:r>
      <w:r w:rsidRPr="0007720E">
        <w:t>хозяйствующих субъектов</w:t>
      </w:r>
      <w:r>
        <w:t xml:space="preserve">, расположенных на территории Нефтеюганского района, в </w:t>
      </w:r>
      <w:r w:rsidRPr="0007720E">
        <w:t>выбро</w:t>
      </w:r>
      <w:r>
        <w:t>с</w:t>
      </w:r>
      <w:r w:rsidRPr="0007720E">
        <w:t xml:space="preserve"> вредных (загрязняющих) веществ</w:t>
      </w:r>
      <w:r>
        <w:t xml:space="preserve"> в атмосферу </w:t>
      </w:r>
      <w:r w:rsidRPr="0007720E">
        <w:t>из</w:t>
      </w:r>
      <w:r w:rsidRPr="00204042">
        <w:t xml:space="preserve"> </w:t>
      </w:r>
      <w:r w:rsidRPr="0007720E">
        <w:t>стационарных источников</w:t>
      </w:r>
      <w:r>
        <w:t xml:space="preserve"> составил 11,8% от общего объема выбросов</w:t>
      </w:r>
      <w:r w:rsidRPr="002C1E50">
        <w:t xml:space="preserve"> </w:t>
      </w:r>
      <w:r>
        <w:t xml:space="preserve">по Ханты-Мансийскому автономному округу – Югре, превысив уровень 2011 г. на 4,6 п.п. При этом наибольший удельный вес </w:t>
      </w:r>
      <w:r w:rsidRPr="0007720E">
        <w:t>выброс</w:t>
      </w:r>
      <w:r>
        <w:t>ов</w:t>
      </w:r>
      <w:r w:rsidRPr="0007720E">
        <w:t xml:space="preserve"> в атмосферу из стационарных источников</w:t>
      </w:r>
      <w:r>
        <w:t xml:space="preserve"> ежегодно приходится на газообразные и жидкие вещества (95,7% в 2016 г.).</w:t>
      </w:r>
    </w:p>
    <w:p w14:paraId="1B9DE9BA" w14:textId="77777777" w:rsidR="009D029D" w:rsidRPr="00EA3BF4" w:rsidRDefault="009D029D" w:rsidP="00A93D7F">
      <w:r w:rsidRPr="00EA3BF4">
        <w:t xml:space="preserve">Поверхностные воды также испытывают мощную антропогенную нагрузку, связанную с активным инфраструктурным развитием территории в последние десятилетия, а также развитием нефтедобывающего комплекса на территории района. Согласно данным Службы по контролю и надзору в сфере охраны окружающей среды, объектов животного мира и лесных отношений Ханты-Мансийского автономного округа – Югры, на территории округа зафиксировано практически повсеместное превышение установленных нормативов по железу (в 94-98% проб), марганцу (в 75-91% проб), цинку (в 29-53% проб) и меди (в 60-73% проб). Причинами этого являются геохимические особенности таёжных заболоченных ландшафтов со свойственной им кислой реакцией почв и широким распространением восстановительной обстановки. В то же время, на </w:t>
      </w:r>
      <w:r>
        <w:t>гидрохимических постах в Нефтеюганском районе</w:t>
      </w:r>
      <w:r w:rsidRPr="00EA3BF4">
        <w:t xml:space="preserve"> за период 2010-2016 гг. не было выявлено случаев высокого и экстремально высокого загрязнения поверхностных вод.</w:t>
      </w:r>
    </w:p>
    <w:p w14:paraId="141C44F0" w14:textId="77777777" w:rsidR="009D029D" w:rsidRDefault="009D029D" w:rsidP="00A93D7F">
      <w:r>
        <w:t>Администрацией района в</w:t>
      </w:r>
      <w:r w:rsidRPr="00397542">
        <w:t>едется база данных по плат</w:t>
      </w:r>
      <w:r>
        <w:t xml:space="preserve">ежам за негативное воздействие </w:t>
      </w:r>
      <w:r w:rsidRPr="00397542">
        <w:t>на окружающую среду предприятий, осуществляющих свою деятельность на территории Нефтею</w:t>
      </w:r>
      <w:r>
        <w:t>ганского района, а также контроль за начислением и уплатой</w:t>
      </w:r>
      <w:r w:rsidRPr="00397542">
        <w:t xml:space="preserve"> предприятиями платежей за негативное воздействие на окружающую среду в бюджет района при проведении совместных проверок с природоохранными органами ХМАО – Югры.</w:t>
      </w:r>
      <w:r>
        <w:t xml:space="preserve"> Динамику текущих затрат на охрану окружающей среды (</w:t>
      </w:r>
      <w:r w:rsidRPr="00162F0C">
        <w:t>включая оплату услуг природоохранного назначения</w:t>
      </w:r>
      <w:r>
        <w:t xml:space="preserve">) можно охарактеризовать как положительную: по итогам </w:t>
      </w:r>
      <w:r>
        <w:lastRenderedPageBreak/>
        <w:t xml:space="preserve">2016 г. уровень затрат составил 4534,7 млн. руб., за период 2011-2016 гг. объем эксплуатационных затрат на охрану окружающей среды увеличился почти в 2 раза. </w:t>
      </w:r>
    </w:p>
    <w:p w14:paraId="1B8D5FCA" w14:textId="77777777" w:rsidR="009D029D" w:rsidRPr="009D029D" w:rsidRDefault="009D029D" w:rsidP="00A93D7F"/>
    <w:p w14:paraId="7B7AE4B5" w14:textId="77777777" w:rsidR="009D029D" w:rsidRDefault="009D029D" w:rsidP="00A93D7F">
      <w:pPr>
        <w:pStyle w:val="ac"/>
      </w:pPr>
      <w:r>
        <w:t xml:space="preserve">Таблица </w:t>
      </w:r>
      <w:fldSimple w:instr=" SEQ Таблица \* ARABIC ">
        <w:r w:rsidR="00ED1BAA">
          <w:rPr>
            <w:noProof/>
          </w:rPr>
          <w:t>4</w:t>
        </w:r>
      </w:fldSimple>
      <w:r>
        <w:t xml:space="preserve"> </w:t>
      </w:r>
    </w:p>
    <w:p w14:paraId="19A08F7E" w14:textId="34A4E0DA" w:rsidR="009D029D" w:rsidRPr="004E2137" w:rsidRDefault="009D029D" w:rsidP="00A93D7F">
      <w:pPr>
        <w:pStyle w:val="ac"/>
      </w:pPr>
      <w:r w:rsidRPr="004E2137">
        <w:t xml:space="preserve">Динамика платы за негативное воздействие на окружающую среду и текущих затрат на охрану окружающей среду в 2014-2016 гг.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356"/>
        <w:gridCol w:w="1356"/>
        <w:gridCol w:w="1356"/>
        <w:gridCol w:w="1924"/>
      </w:tblGrid>
      <w:tr w:rsidR="009D029D" w:rsidRPr="00062879" w14:paraId="3368153A" w14:textId="77777777" w:rsidTr="004D6893">
        <w:trPr>
          <w:trHeight w:val="501"/>
        </w:trPr>
        <w:tc>
          <w:tcPr>
            <w:tcW w:w="3360" w:type="dxa"/>
            <w:shd w:val="clear" w:color="auto" w:fill="auto"/>
            <w:noWrap/>
            <w:vAlign w:val="center"/>
          </w:tcPr>
          <w:p w14:paraId="3FAD96B6" w14:textId="77777777" w:rsidR="009D029D" w:rsidRPr="00062879" w:rsidRDefault="009D029D" w:rsidP="00391462">
            <w:pPr>
              <w:pStyle w:val="af7"/>
            </w:pPr>
            <w:r w:rsidRPr="00062879">
              <w:t>Наименование показателя</w:t>
            </w:r>
          </w:p>
        </w:tc>
        <w:tc>
          <w:tcPr>
            <w:tcW w:w="1356" w:type="dxa"/>
            <w:shd w:val="clear" w:color="auto" w:fill="auto"/>
            <w:noWrap/>
            <w:vAlign w:val="center"/>
          </w:tcPr>
          <w:p w14:paraId="017B97F7" w14:textId="77777777" w:rsidR="009D029D" w:rsidRPr="00062879" w:rsidRDefault="009D029D" w:rsidP="00391462">
            <w:pPr>
              <w:pStyle w:val="af7"/>
              <w:jc w:val="center"/>
            </w:pPr>
            <w:r w:rsidRPr="00062879">
              <w:t>2014</w:t>
            </w:r>
          </w:p>
        </w:tc>
        <w:tc>
          <w:tcPr>
            <w:tcW w:w="1356" w:type="dxa"/>
            <w:shd w:val="clear" w:color="auto" w:fill="auto"/>
            <w:noWrap/>
            <w:vAlign w:val="center"/>
          </w:tcPr>
          <w:p w14:paraId="7D819C05" w14:textId="77777777" w:rsidR="009D029D" w:rsidRPr="00062879" w:rsidRDefault="009D029D" w:rsidP="00391462">
            <w:pPr>
              <w:pStyle w:val="af7"/>
              <w:jc w:val="center"/>
            </w:pPr>
            <w:r w:rsidRPr="00062879">
              <w:t>2015</w:t>
            </w:r>
          </w:p>
        </w:tc>
        <w:tc>
          <w:tcPr>
            <w:tcW w:w="1356" w:type="dxa"/>
            <w:shd w:val="clear" w:color="auto" w:fill="auto"/>
            <w:noWrap/>
            <w:vAlign w:val="center"/>
          </w:tcPr>
          <w:p w14:paraId="704B5BFC" w14:textId="77777777" w:rsidR="009D029D" w:rsidRPr="00062879" w:rsidRDefault="009D029D" w:rsidP="00391462">
            <w:pPr>
              <w:pStyle w:val="af7"/>
              <w:jc w:val="center"/>
            </w:pPr>
            <w:r w:rsidRPr="00062879">
              <w:t>2016</w:t>
            </w:r>
          </w:p>
        </w:tc>
        <w:tc>
          <w:tcPr>
            <w:tcW w:w="1924" w:type="dxa"/>
            <w:vAlign w:val="center"/>
          </w:tcPr>
          <w:p w14:paraId="1614B4C8" w14:textId="77777777" w:rsidR="009D029D" w:rsidRPr="00062879" w:rsidRDefault="009D029D" w:rsidP="00391462">
            <w:pPr>
              <w:pStyle w:val="af7"/>
              <w:jc w:val="center"/>
            </w:pPr>
            <w:r w:rsidRPr="00062879">
              <w:t>Среднегодовой темп роста, %</w:t>
            </w:r>
          </w:p>
        </w:tc>
      </w:tr>
      <w:tr w:rsidR="009D029D" w:rsidRPr="00062879" w14:paraId="69454637" w14:textId="77777777" w:rsidTr="004D6893">
        <w:trPr>
          <w:trHeight w:val="501"/>
        </w:trPr>
        <w:tc>
          <w:tcPr>
            <w:tcW w:w="3360" w:type="dxa"/>
            <w:shd w:val="clear" w:color="auto" w:fill="auto"/>
            <w:noWrap/>
            <w:vAlign w:val="center"/>
            <w:hideMark/>
          </w:tcPr>
          <w:p w14:paraId="3B03313B" w14:textId="77777777" w:rsidR="009D029D" w:rsidRPr="00062879" w:rsidRDefault="009D029D" w:rsidP="00391462">
            <w:pPr>
              <w:pStyle w:val="af7"/>
            </w:pPr>
            <w:r w:rsidRPr="00062879">
              <w:t>Плата за негативное воздействие на окружающую среду, тыс. руб.</w:t>
            </w:r>
          </w:p>
        </w:tc>
        <w:tc>
          <w:tcPr>
            <w:tcW w:w="1356" w:type="dxa"/>
            <w:shd w:val="clear" w:color="auto" w:fill="auto"/>
            <w:noWrap/>
            <w:vAlign w:val="center"/>
            <w:hideMark/>
          </w:tcPr>
          <w:p w14:paraId="04847223" w14:textId="77777777" w:rsidR="009D029D" w:rsidRPr="00062879" w:rsidRDefault="009D029D" w:rsidP="00391462">
            <w:pPr>
              <w:pStyle w:val="af7"/>
              <w:jc w:val="center"/>
            </w:pPr>
            <w:r w:rsidRPr="00062879">
              <w:t>124 146,6</w:t>
            </w:r>
          </w:p>
        </w:tc>
        <w:tc>
          <w:tcPr>
            <w:tcW w:w="1356" w:type="dxa"/>
            <w:shd w:val="clear" w:color="auto" w:fill="auto"/>
            <w:noWrap/>
            <w:vAlign w:val="center"/>
            <w:hideMark/>
          </w:tcPr>
          <w:p w14:paraId="681B6A0D" w14:textId="77777777" w:rsidR="009D029D" w:rsidRPr="00062879" w:rsidRDefault="009D029D" w:rsidP="00391462">
            <w:pPr>
              <w:pStyle w:val="af7"/>
              <w:jc w:val="center"/>
            </w:pPr>
            <w:r w:rsidRPr="00062879">
              <w:t>89 601,4</w:t>
            </w:r>
          </w:p>
        </w:tc>
        <w:tc>
          <w:tcPr>
            <w:tcW w:w="1356" w:type="dxa"/>
            <w:shd w:val="clear" w:color="auto" w:fill="auto"/>
            <w:noWrap/>
            <w:vAlign w:val="center"/>
            <w:hideMark/>
          </w:tcPr>
          <w:p w14:paraId="7EC05D8B" w14:textId="77777777" w:rsidR="009D029D" w:rsidRPr="00062879" w:rsidRDefault="009D029D" w:rsidP="00391462">
            <w:pPr>
              <w:pStyle w:val="af7"/>
              <w:jc w:val="center"/>
            </w:pPr>
            <w:r w:rsidRPr="00062879">
              <w:t>51 199,9</w:t>
            </w:r>
          </w:p>
        </w:tc>
        <w:tc>
          <w:tcPr>
            <w:tcW w:w="1924" w:type="dxa"/>
            <w:vAlign w:val="center"/>
          </w:tcPr>
          <w:p w14:paraId="34D1A21F" w14:textId="77777777" w:rsidR="009D029D" w:rsidRPr="00062879" w:rsidRDefault="009D029D" w:rsidP="00391462">
            <w:pPr>
              <w:pStyle w:val="af7"/>
              <w:jc w:val="center"/>
              <w:rPr>
                <w:bCs/>
                <w:color w:val="111417"/>
                <w:lang w:val="en-US"/>
              </w:rPr>
            </w:pPr>
            <w:r w:rsidRPr="00062879">
              <w:t>64,2%</w:t>
            </w:r>
          </w:p>
        </w:tc>
      </w:tr>
      <w:tr w:rsidR="009D029D" w:rsidRPr="00062879" w14:paraId="261594BC" w14:textId="77777777" w:rsidTr="004D6893">
        <w:trPr>
          <w:trHeight w:val="320"/>
        </w:trPr>
        <w:tc>
          <w:tcPr>
            <w:tcW w:w="3360" w:type="dxa"/>
            <w:shd w:val="clear" w:color="auto" w:fill="auto"/>
            <w:noWrap/>
            <w:vAlign w:val="center"/>
          </w:tcPr>
          <w:p w14:paraId="21A3ACB6" w14:textId="77777777" w:rsidR="009D029D" w:rsidRPr="00062879" w:rsidRDefault="009D029D" w:rsidP="00391462">
            <w:pPr>
              <w:pStyle w:val="af7"/>
            </w:pPr>
            <w:r w:rsidRPr="00062879">
              <w:t>Текущие (эксплуатационные) затраты на охрану окружающей среды, включая оплату услуг природоохранного назначения, тыс. руб.</w:t>
            </w:r>
          </w:p>
        </w:tc>
        <w:tc>
          <w:tcPr>
            <w:tcW w:w="1356" w:type="dxa"/>
            <w:shd w:val="clear" w:color="auto" w:fill="auto"/>
            <w:noWrap/>
            <w:vAlign w:val="center"/>
          </w:tcPr>
          <w:p w14:paraId="1F2577D8" w14:textId="77777777" w:rsidR="009D029D" w:rsidRPr="00062879" w:rsidRDefault="009D029D" w:rsidP="00391462">
            <w:pPr>
              <w:pStyle w:val="af7"/>
              <w:jc w:val="center"/>
              <w:rPr>
                <w:bCs/>
                <w:color w:val="111417"/>
              </w:rPr>
            </w:pPr>
            <w:r w:rsidRPr="00062879">
              <w:t>3 010 565,0</w:t>
            </w:r>
          </w:p>
        </w:tc>
        <w:tc>
          <w:tcPr>
            <w:tcW w:w="1356" w:type="dxa"/>
            <w:shd w:val="clear" w:color="auto" w:fill="auto"/>
            <w:noWrap/>
            <w:vAlign w:val="center"/>
          </w:tcPr>
          <w:p w14:paraId="7B735602" w14:textId="77777777" w:rsidR="009D029D" w:rsidRPr="00062879" w:rsidRDefault="009D029D" w:rsidP="00391462">
            <w:pPr>
              <w:pStyle w:val="af7"/>
              <w:jc w:val="center"/>
              <w:rPr>
                <w:bCs/>
              </w:rPr>
            </w:pPr>
            <w:r w:rsidRPr="00062879">
              <w:t>4 033 223,0</w:t>
            </w:r>
          </w:p>
        </w:tc>
        <w:tc>
          <w:tcPr>
            <w:tcW w:w="1356" w:type="dxa"/>
            <w:shd w:val="clear" w:color="auto" w:fill="auto"/>
            <w:noWrap/>
            <w:vAlign w:val="center"/>
          </w:tcPr>
          <w:p w14:paraId="12B781F1" w14:textId="77777777" w:rsidR="009D029D" w:rsidRPr="00062879" w:rsidRDefault="009D029D" w:rsidP="00391462">
            <w:pPr>
              <w:pStyle w:val="af7"/>
              <w:jc w:val="center"/>
              <w:rPr>
                <w:bCs/>
                <w:color w:val="111417"/>
              </w:rPr>
            </w:pPr>
            <w:r w:rsidRPr="00062879">
              <w:t>4 534 663,0</w:t>
            </w:r>
          </w:p>
        </w:tc>
        <w:tc>
          <w:tcPr>
            <w:tcW w:w="1924" w:type="dxa"/>
            <w:vAlign w:val="center"/>
          </w:tcPr>
          <w:p w14:paraId="2500ADBB" w14:textId="77777777" w:rsidR="009D029D" w:rsidRPr="00062879" w:rsidRDefault="009D029D" w:rsidP="00391462">
            <w:pPr>
              <w:pStyle w:val="af7"/>
              <w:jc w:val="center"/>
            </w:pPr>
            <w:r w:rsidRPr="00062879">
              <w:t>122,7%</w:t>
            </w:r>
          </w:p>
        </w:tc>
      </w:tr>
      <w:tr w:rsidR="009D029D" w:rsidRPr="00062879" w14:paraId="0EF9A908" w14:textId="77777777" w:rsidTr="004D6893">
        <w:trPr>
          <w:trHeight w:val="320"/>
        </w:trPr>
        <w:tc>
          <w:tcPr>
            <w:tcW w:w="3360" w:type="dxa"/>
            <w:shd w:val="clear" w:color="auto" w:fill="auto"/>
            <w:noWrap/>
            <w:vAlign w:val="center"/>
          </w:tcPr>
          <w:p w14:paraId="24F7B3CF" w14:textId="77777777" w:rsidR="009D029D" w:rsidRPr="00062879" w:rsidRDefault="009D029D" w:rsidP="00391462">
            <w:pPr>
              <w:pStyle w:val="af7"/>
            </w:pPr>
            <w:r w:rsidRPr="00062879">
              <w:t>Выброшено в атмосферу загрязняющих веществ, отходящих от стационарных источников, тыс. т</w:t>
            </w:r>
          </w:p>
        </w:tc>
        <w:tc>
          <w:tcPr>
            <w:tcW w:w="1356" w:type="dxa"/>
            <w:shd w:val="clear" w:color="auto" w:fill="auto"/>
            <w:noWrap/>
            <w:vAlign w:val="center"/>
          </w:tcPr>
          <w:p w14:paraId="4DB9D8ED" w14:textId="77777777" w:rsidR="009D029D" w:rsidRPr="00062879" w:rsidRDefault="009D029D" w:rsidP="00391462">
            <w:pPr>
              <w:pStyle w:val="af7"/>
              <w:jc w:val="center"/>
            </w:pPr>
            <w:r w:rsidRPr="00062879">
              <w:t>227,114</w:t>
            </w:r>
          </w:p>
        </w:tc>
        <w:tc>
          <w:tcPr>
            <w:tcW w:w="1356" w:type="dxa"/>
            <w:shd w:val="clear" w:color="auto" w:fill="auto"/>
            <w:noWrap/>
            <w:vAlign w:val="center"/>
          </w:tcPr>
          <w:p w14:paraId="6DC3D5EF" w14:textId="77777777" w:rsidR="009D029D" w:rsidRPr="00062879" w:rsidRDefault="009D029D" w:rsidP="00391462">
            <w:pPr>
              <w:pStyle w:val="af7"/>
              <w:jc w:val="center"/>
            </w:pPr>
            <w:r w:rsidRPr="00062879">
              <w:t>170,769</w:t>
            </w:r>
          </w:p>
        </w:tc>
        <w:tc>
          <w:tcPr>
            <w:tcW w:w="1356" w:type="dxa"/>
            <w:shd w:val="clear" w:color="auto" w:fill="auto"/>
            <w:noWrap/>
            <w:vAlign w:val="center"/>
          </w:tcPr>
          <w:p w14:paraId="0CF329DD" w14:textId="77777777" w:rsidR="009D029D" w:rsidRPr="00062879" w:rsidRDefault="009D029D" w:rsidP="00391462">
            <w:pPr>
              <w:pStyle w:val="af7"/>
              <w:jc w:val="center"/>
            </w:pPr>
            <w:r w:rsidRPr="00062879">
              <w:t>168,064</w:t>
            </w:r>
          </w:p>
        </w:tc>
        <w:tc>
          <w:tcPr>
            <w:tcW w:w="1924" w:type="dxa"/>
            <w:vAlign w:val="center"/>
          </w:tcPr>
          <w:p w14:paraId="6799B676" w14:textId="77777777" w:rsidR="009D029D" w:rsidRPr="00062879" w:rsidRDefault="009D029D" w:rsidP="00391462">
            <w:pPr>
              <w:pStyle w:val="af7"/>
              <w:jc w:val="center"/>
            </w:pPr>
            <w:r w:rsidRPr="00062879">
              <w:t>86,0%</w:t>
            </w:r>
          </w:p>
        </w:tc>
      </w:tr>
    </w:tbl>
    <w:p w14:paraId="1AD65B6B" w14:textId="167217DC" w:rsidR="009D029D" w:rsidRPr="00391462" w:rsidRDefault="009D029D" w:rsidP="00A93D7F">
      <w:pPr>
        <w:rPr>
          <w:sz w:val="20"/>
          <w:szCs w:val="20"/>
        </w:rPr>
      </w:pPr>
      <w:r w:rsidRPr="00391462">
        <w:rPr>
          <w:sz w:val="20"/>
          <w:szCs w:val="20"/>
        </w:rPr>
        <w:t>Источник:</w:t>
      </w:r>
      <w:r w:rsidR="00943CF2" w:rsidRPr="00391462">
        <w:rPr>
          <w:sz w:val="20"/>
          <w:szCs w:val="20"/>
        </w:rPr>
        <w:t xml:space="preserve"> Росстат, отчеты СЭР </w:t>
      </w:r>
    </w:p>
    <w:p w14:paraId="681B7F1E" w14:textId="77777777" w:rsidR="009D029D" w:rsidRDefault="009D029D" w:rsidP="00A93D7F"/>
    <w:p w14:paraId="2C7DE499" w14:textId="77777777" w:rsidR="009D029D" w:rsidRPr="00C219E1" w:rsidRDefault="009D029D" w:rsidP="00A93D7F">
      <w:r w:rsidRPr="00FA453B">
        <w:t xml:space="preserve">Одной из самых приоритетных в решении задач по охране окружающей среды является проблема производственных и бытовых отходов, в частности, несанкционированное размещение ТБО на территории района. В настоящее время на территории Нефтеюганского района эксплуатируется 3 объекта размещения твердых бытовых и производственных отходов: межмуниципальный </w:t>
      </w:r>
      <w:r w:rsidRPr="00FA453B">
        <w:rPr>
          <w:snapToGrid w:val="0"/>
        </w:rPr>
        <w:t xml:space="preserve">комплексный </w:t>
      </w:r>
      <w:r w:rsidRPr="00FA453B">
        <w:t>полигон ТБО в 22 км от г.</w:t>
      </w:r>
      <w:r>
        <w:t> </w:t>
      </w:r>
      <w:r w:rsidRPr="00FA453B">
        <w:t xml:space="preserve">Нефтеюганска </w:t>
      </w:r>
      <w:r>
        <w:rPr>
          <w:snapToGrid w:val="0"/>
        </w:rPr>
        <w:t>площадью 37,</w:t>
      </w:r>
      <w:r w:rsidRPr="00FA453B">
        <w:rPr>
          <w:snapToGrid w:val="0"/>
        </w:rPr>
        <w:t>72 га</w:t>
      </w:r>
      <w:r w:rsidRPr="00FA453B">
        <w:t xml:space="preserve">, полигон ТБО в 11 км от гп. Пойковский </w:t>
      </w:r>
      <w:r w:rsidRPr="00FA453B">
        <w:rPr>
          <w:snapToGrid w:val="0"/>
        </w:rPr>
        <w:t>с мусоросортировочным комплексом площадью 5,0 га</w:t>
      </w:r>
      <w:r w:rsidRPr="00FA453B">
        <w:t xml:space="preserve"> и полигон для захоронения бытовых отходов в сп.</w:t>
      </w:r>
      <w:r>
        <w:t> </w:t>
      </w:r>
      <w:r w:rsidRPr="00FA453B">
        <w:t>Салым</w:t>
      </w:r>
      <w:r w:rsidRPr="00FA453B">
        <w:rPr>
          <w:snapToGrid w:val="0"/>
        </w:rPr>
        <w:t xml:space="preserve"> площадью 7,6 га</w:t>
      </w:r>
      <w:r>
        <w:rPr>
          <w:snapToGrid w:val="0"/>
        </w:rPr>
        <w:t xml:space="preserve"> (введен в эксплуатацию в 2015 г.)</w:t>
      </w:r>
      <w:r w:rsidRPr="00FA453B">
        <w:t>.</w:t>
      </w:r>
    </w:p>
    <w:p w14:paraId="74B79B6B" w14:textId="77777777" w:rsidR="009D029D" w:rsidRDefault="009D029D" w:rsidP="00A93D7F">
      <w:r w:rsidRPr="00C219E1">
        <w:t>Кроме выше названных объектов на территор</w:t>
      </w:r>
      <w:r>
        <w:t>иях лицензионных участков в ООО </w:t>
      </w:r>
      <w:r w:rsidRPr="00C219E1">
        <w:t xml:space="preserve">«РН-Юганскнефтегаз» имеется </w:t>
      </w:r>
      <w:r>
        <w:t>2</w:t>
      </w:r>
      <w:r w:rsidRPr="00C219E1">
        <w:t xml:space="preserve"> полигона твердых бытовых и производственных отходов</w:t>
      </w:r>
      <w:r>
        <w:t xml:space="preserve"> (на Мало-Балыкском месторождении нефти в районе 585 куста, на Правдинском месторождении в районе ДНС-1) и полигон</w:t>
      </w:r>
      <w:r w:rsidRPr="00C219E1">
        <w:t xml:space="preserve"> производственных отходов</w:t>
      </w:r>
      <w:r w:rsidRPr="009562C0">
        <w:t xml:space="preserve"> </w:t>
      </w:r>
      <w:r>
        <w:t>на Южно-Сургутском месторождении</w:t>
      </w:r>
      <w:r w:rsidRPr="00C219E1">
        <w:t>,</w:t>
      </w:r>
      <w:r>
        <w:t xml:space="preserve"> а также </w:t>
      </w:r>
      <w:r w:rsidRPr="00C219E1">
        <w:t>полигон твердых бытовых и</w:t>
      </w:r>
      <w:r>
        <w:t xml:space="preserve"> производственных отходов</w:t>
      </w:r>
      <w:r w:rsidRPr="00C219E1">
        <w:t xml:space="preserve"> компании «Салым Петролеум Девелопмент Н.В.» (Нефтеюганский филиал). </w:t>
      </w:r>
    </w:p>
    <w:p w14:paraId="42D24FE8" w14:textId="77777777" w:rsidR="009D029D" w:rsidRDefault="009D029D" w:rsidP="00A93D7F">
      <w:r>
        <w:t xml:space="preserve">На территории района реализуется муниципальная программа «Обеспечение </w:t>
      </w:r>
      <w:r w:rsidRPr="00061F19">
        <w:t>экологической безопасности Нефтеюганского района на 2014-2020 годы</w:t>
      </w:r>
      <w:r>
        <w:t xml:space="preserve">», в рамках муниципальной программы ключевыми задачами являются эколого-просветительская деятельность и снижение негативного воздействия отходообразователей на окружающую среду. Согласно отчету по исполнению муниципальной программы, с вводом в эксплуатацию полигона ТБО в </w:t>
      </w:r>
      <w:r w:rsidRPr="00FA453B">
        <w:t>сп.</w:t>
      </w:r>
      <w:r>
        <w:t> </w:t>
      </w:r>
      <w:r w:rsidRPr="00FA453B">
        <w:t>Салым</w:t>
      </w:r>
      <w:r>
        <w:t xml:space="preserve"> в 2015 г. о</w:t>
      </w:r>
      <w:r w:rsidRPr="008360AB">
        <w:t xml:space="preserve">беспеченность населенных пунктов </w:t>
      </w:r>
      <w:r>
        <w:t xml:space="preserve">Нефтеюганского района </w:t>
      </w:r>
      <w:r w:rsidRPr="008360AB">
        <w:t>объектами размещения и переработки отходов</w:t>
      </w:r>
      <w:r>
        <w:t xml:space="preserve"> составила 100% (значение целевого показателя на дату начала реализации муниципальной программы составляло 50%).</w:t>
      </w:r>
    </w:p>
    <w:p w14:paraId="195050D3" w14:textId="77777777" w:rsidR="009D029D" w:rsidRPr="0081636F" w:rsidRDefault="009D029D" w:rsidP="00A93D7F">
      <w:r>
        <w:t xml:space="preserve">Несмотря на эффективность реализации муниципальной программы, в </w:t>
      </w:r>
      <w:r w:rsidRPr="0081636F">
        <w:t>Нефтеюганском районе остро стоит проблема несанкционированного размещения отходов производства и потребления. Причиной несанкционированных свалок является несоответствие обустройства объектов размещения отходов требованиям природоохранного законодательства, а также низкая экологическая культура населения.</w:t>
      </w:r>
      <w:r w:rsidRPr="0081636F">
        <w:rPr>
          <w:color w:val="000000"/>
        </w:rPr>
        <w:t xml:space="preserve"> В бюджете района</w:t>
      </w:r>
      <w:r w:rsidRPr="0081636F">
        <w:t xml:space="preserve"> е</w:t>
      </w:r>
      <w:r w:rsidRPr="0081636F">
        <w:rPr>
          <w:color w:val="000000"/>
        </w:rPr>
        <w:t>жегодно предусматриваются средства на ликвидацию стихийно образующихся свалок.</w:t>
      </w:r>
      <w:r w:rsidRPr="0081636F">
        <w:t xml:space="preserve"> За период действия программы выполнены работы по рекультивации несанкционированных свалок ТКО в с. Чеускино, сп. Сентябрьский, сп. Каркатеевы, сп. Лемпино, сп. Куть-Ях и п. Юганская Обь. В 2016 году велись работы по рекультивации объектов и несанкционированных мест размещения твердых бытовых </w:t>
      </w:r>
      <w:r w:rsidRPr="0081636F">
        <w:lastRenderedPageBreak/>
        <w:t>отходов в гп. Пойковский. Муниципальный контракт с ООО «Д-Марк» на проведение работ по рекультивации объектов и несанкционированных мест размещения твердых бытовых отходов в гп. Пойковский предусматривает исполнение мероприятия в полном объеме в августе 2017 года</w:t>
      </w:r>
      <w:r w:rsidRPr="00DF69EE">
        <w:t>. В 2017 году также проведена рекультивация несанкционированной свалки ТКО в сп. Салым.</w:t>
      </w:r>
    </w:p>
    <w:p w14:paraId="39396474" w14:textId="77777777" w:rsidR="009D029D" w:rsidRPr="00F66CA5" w:rsidRDefault="009D029D" w:rsidP="009D029D">
      <w:pPr>
        <w:pStyle w:val="ConsPlusNormal"/>
        <w:ind w:firstLine="709"/>
        <w:jc w:val="both"/>
        <w:rPr>
          <w:sz w:val="24"/>
          <w:szCs w:val="24"/>
        </w:rPr>
      </w:pPr>
      <w:r w:rsidRPr="00F66CA5">
        <w:rPr>
          <w:sz w:val="24"/>
          <w:szCs w:val="24"/>
        </w:rPr>
        <w:t xml:space="preserve">В рамках муниципальной программы также проводится работа по организации раздельного сбора отходов в поселениях района, приобретены контейнеры для раздельного (селективного) сбора отходов. </w:t>
      </w:r>
    </w:p>
    <w:p w14:paraId="69CF79A6" w14:textId="77777777" w:rsidR="009D029D" w:rsidRDefault="009D029D" w:rsidP="009D029D">
      <w:pPr>
        <w:pStyle w:val="ConsPlusNormal"/>
        <w:ind w:firstLine="709"/>
        <w:jc w:val="both"/>
        <w:rPr>
          <w:sz w:val="24"/>
          <w:szCs w:val="24"/>
        </w:rPr>
      </w:pPr>
      <w:r w:rsidRPr="00F66CA5">
        <w:rPr>
          <w:sz w:val="24"/>
          <w:szCs w:val="24"/>
        </w:rPr>
        <w:t>Эколого-просветительская деятельность является ключевой задачей муниципальной программы наряду со снижением негативного воздействия на окружающую среду.</w:t>
      </w:r>
      <w:r w:rsidRPr="00F66CA5">
        <w:rPr>
          <w:color w:val="000000"/>
          <w:spacing w:val="-2"/>
          <w:sz w:val="24"/>
          <w:szCs w:val="24"/>
        </w:rPr>
        <w:t xml:space="preserve">  </w:t>
      </w:r>
      <w:r w:rsidRPr="00F66CA5">
        <w:rPr>
          <w:sz w:val="24"/>
          <w:szCs w:val="24"/>
          <w:lang w:bidi="ru-RU"/>
        </w:rPr>
        <w:t xml:space="preserve">Распространение среди всех групп населения экологических знаний и формирование экологически мотивированных культурных навыков достигается посредством участия в международной экологической акции «Спасти и сохранить». </w:t>
      </w:r>
      <w:r w:rsidRPr="00F66CA5">
        <w:rPr>
          <w:sz w:val="24"/>
          <w:szCs w:val="24"/>
        </w:rPr>
        <w:t xml:space="preserve">Проведение ежегодных мероприятий в рамках акции осуществляется согласно утвержденному плану в тесном контакте с администрациями городского и сельских поселений района, Департаментом образования и молодежной политики и Департаментом культуры и спорта Нефтеюганского района, предприятиями и общественными организациями района. </w:t>
      </w:r>
    </w:p>
    <w:p w14:paraId="577AC865" w14:textId="77777777" w:rsidR="009D029D" w:rsidRPr="00A82F1A" w:rsidRDefault="009D029D" w:rsidP="009D029D">
      <w:pPr>
        <w:pStyle w:val="ConsPlusNormal"/>
        <w:ind w:firstLine="709"/>
        <w:jc w:val="both"/>
        <w:rPr>
          <w:sz w:val="24"/>
          <w:szCs w:val="24"/>
        </w:rPr>
      </w:pPr>
      <w:r w:rsidRPr="00F66CA5">
        <w:rPr>
          <w:sz w:val="24"/>
          <w:szCs w:val="24"/>
        </w:rPr>
        <w:t>Отмечается высокая эффективность проведенного мероприятия: по итогам 2016 года число участников экологической акции достигло целевого показателя муниципальной программы и составило 12,8 тыс. чел., доля населения района, вовлеченного в эколого-просветительские мероприятия, составила целевые 29%.</w:t>
      </w:r>
      <w:r>
        <w:rPr>
          <w:sz w:val="24"/>
          <w:szCs w:val="24"/>
        </w:rPr>
        <w:t xml:space="preserve"> Таким образом, реализуемую муниципальную программу можно охарактеризовать как высоко эффективную.</w:t>
      </w:r>
    </w:p>
    <w:p w14:paraId="3025B382" w14:textId="77777777" w:rsidR="009D029D" w:rsidRPr="009D029D" w:rsidRDefault="009D029D" w:rsidP="00A93D7F"/>
    <w:p w14:paraId="6A75AAC8" w14:textId="69F3E3FF" w:rsidR="002A44AA" w:rsidRPr="00391462" w:rsidRDefault="002A44AA" w:rsidP="00391462">
      <w:pPr>
        <w:jc w:val="center"/>
        <w:rPr>
          <w:b/>
        </w:rPr>
      </w:pPr>
      <w:r w:rsidRPr="00391462">
        <w:rPr>
          <w:b/>
        </w:rPr>
        <w:t>Туристско-рекреационный потенциал</w:t>
      </w:r>
    </w:p>
    <w:p w14:paraId="50B0DDCE" w14:textId="77777777" w:rsidR="00C24B20" w:rsidRPr="0071424E" w:rsidRDefault="00C24B20" w:rsidP="00A93D7F"/>
    <w:p w14:paraId="7B2AEC80" w14:textId="77777777" w:rsidR="0071424E" w:rsidRDefault="0071424E" w:rsidP="00A93D7F">
      <w:r w:rsidRPr="00305042">
        <w:t>Нефтеюганский район относится к региону Сибири и входит в Восточную туристско-рекреационную зону автономного округа. На территории района расположены объекты культурного и природного наследия, определяющие потенциал развития локальной туристической отрасли:</w:t>
      </w:r>
    </w:p>
    <w:p w14:paraId="38BFF531" w14:textId="77777777" w:rsidR="0071424E" w:rsidRDefault="0071424E" w:rsidP="00A93D7F">
      <w:pPr>
        <w:pStyle w:val="a0"/>
        <w:numPr>
          <w:ilvl w:val="0"/>
          <w:numId w:val="5"/>
        </w:numPr>
      </w:pPr>
      <w:r>
        <w:t xml:space="preserve">памятник природы регионального значения </w:t>
      </w:r>
      <w:r w:rsidRPr="00BD0977">
        <w:t>«Дальний Нырис»</w:t>
      </w:r>
      <w:r>
        <w:t>, созданный в 2017 г.;</w:t>
      </w:r>
    </w:p>
    <w:p w14:paraId="372E3B08" w14:textId="77777777" w:rsidR="0071424E" w:rsidRDefault="0071424E" w:rsidP="00A93D7F">
      <w:pPr>
        <w:pStyle w:val="a0"/>
        <w:numPr>
          <w:ilvl w:val="0"/>
          <w:numId w:val="5"/>
        </w:numPr>
      </w:pPr>
      <w:r w:rsidRPr="00443EE9">
        <w:rPr>
          <w:rFonts w:eastAsia="Times New Roman"/>
        </w:rPr>
        <w:t>особо охраняемая природная территория регионального значения</w:t>
      </w:r>
      <w:r w:rsidRPr="00BD0977">
        <w:t xml:space="preserve"> </w:t>
      </w:r>
      <w:r>
        <w:t>«Чеускинский бор» (</w:t>
      </w:r>
      <w:r w:rsidRPr="0039636E">
        <w:t>в северо-восточной части Нефтеюганского района</w:t>
      </w:r>
      <w:r>
        <w:t>);</w:t>
      </w:r>
    </w:p>
    <w:p w14:paraId="039B80C5" w14:textId="77777777" w:rsidR="0071424E" w:rsidRDefault="0071424E" w:rsidP="00A93D7F">
      <w:pPr>
        <w:pStyle w:val="a0"/>
        <w:numPr>
          <w:ilvl w:val="0"/>
          <w:numId w:val="5"/>
        </w:numPr>
      </w:pPr>
      <w:r>
        <w:t>к</w:t>
      </w:r>
      <w:r w:rsidRPr="00BD0977">
        <w:t>омплекс объектов культурного наследия «Соровские озера»</w:t>
      </w:r>
      <w:r>
        <w:t xml:space="preserve"> (в юго-западной части района);</w:t>
      </w:r>
    </w:p>
    <w:p w14:paraId="7FA7B764" w14:textId="77777777" w:rsidR="0071424E" w:rsidRDefault="0071424E" w:rsidP="00A93D7F">
      <w:pPr>
        <w:pStyle w:val="a0"/>
        <w:numPr>
          <w:ilvl w:val="0"/>
          <w:numId w:val="5"/>
        </w:numPr>
      </w:pPr>
      <w:r>
        <w:t>к</w:t>
      </w:r>
      <w:r w:rsidRPr="00BD0977">
        <w:t>омплекс объектов</w:t>
      </w:r>
      <w:r>
        <w:t xml:space="preserve"> культурного наследия Урочище «</w:t>
      </w:r>
      <w:r w:rsidRPr="00BD0977">
        <w:t>Зимние Савкунины</w:t>
      </w:r>
      <w:r>
        <w:t>» и с</w:t>
      </w:r>
      <w:r w:rsidRPr="00BD0977">
        <w:t>вятилище «Ай-орт-ики»</w:t>
      </w:r>
      <w:r>
        <w:t xml:space="preserve"> (в северо-западной части района);</w:t>
      </w:r>
    </w:p>
    <w:p w14:paraId="60336F83" w14:textId="77777777" w:rsidR="0071424E" w:rsidRDefault="0071424E" w:rsidP="00A93D7F">
      <w:pPr>
        <w:pStyle w:val="a0"/>
        <w:numPr>
          <w:ilvl w:val="0"/>
          <w:numId w:val="5"/>
        </w:numPr>
      </w:pPr>
      <w:r>
        <w:t>к</w:t>
      </w:r>
      <w:r w:rsidRPr="00BD0977">
        <w:t>омплекс объектов культурного наследия «Большое Каюково»</w:t>
      </w:r>
      <w:r>
        <w:t xml:space="preserve"> (в юго-восточной части района);</w:t>
      </w:r>
    </w:p>
    <w:p w14:paraId="3049DBEB" w14:textId="77777777" w:rsidR="0071424E" w:rsidRDefault="0071424E" w:rsidP="00A93D7F">
      <w:pPr>
        <w:pStyle w:val="a0"/>
        <w:numPr>
          <w:ilvl w:val="0"/>
          <w:numId w:val="5"/>
        </w:numPr>
      </w:pPr>
      <w:r>
        <w:t>к</w:t>
      </w:r>
      <w:r w:rsidRPr="00BD0977">
        <w:t>омплекс объектов культурного наследия «Озеро Чагорово», «Озеро Долгое», «Озеро Светлое» и «Озеро Мамонтово»</w:t>
      </w:r>
      <w:r>
        <w:t xml:space="preserve"> (в юго-западной части района);</w:t>
      </w:r>
    </w:p>
    <w:p w14:paraId="1C868C5B" w14:textId="77777777" w:rsidR="0071424E" w:rsidRDefault="0071424E" w:rsidP="00A93D7F">
      <w:pPr>
        <w:pStyle w:val="a0"/>
        <w:numPr>
          <w:ilvl w:val="0"/>
          <w:numId w:val="5"/>
        </w:numPr>
      </w:pPr>
      <w:r>
        <w:t>г</w:t>
      </w:r>
      <w:r w:rsidRPr="00BD0977">
        <w:t>ородище Окопас</w:t>
      </w:r>
      <w:r>
        <w:t xml:space="preserve"> (в сп. Салым).</w:t>
      </w:r>
    </w:p>
    <w:p w14:paraId="70C34B8F" w14:textId="77777777" w:rsidR="0071424E" w:rsidRDefault="0071424E" w:rsidP="00A93D7F">
      <w:r>
        <w:t>Районная инфраструктура туризма включает в себя базу туризма и отдыха «Сказка» с зоопарком</w:t>
      </w:r>
      <w:r w:rsidRPr="00B77B82">
        <w:t xml:space="preserve"> и</w:t>
      </w:r>
      <w:r>
        <w:t xml:space="preserve"> Центр туризма и отдыха «Парус», два </w:t>
      </w:r>
      <w:r w:rsidRPr="00B77B82">
        <w:t>турагенства, одно санаторно-курортное учреждение, пять гостиниц, 81 предприятие общественного питания (рестораны, кафе, бары)</w:t>
      </w:r>
      <w:r>
        <w:t>, 30 предприятий культурно-</w:t>
      </w:r>
      <w:r w:rsidRPr="00B77B82">
        <w:t>развлекательного назначения, 18 пред</w:t>
      </w:r>
      <w:r>
        <w:t xml:space="preserve">приятий спортивного назначения </w:t>
      </w:r>
      <w:r w:rsidRPr="00E1537D">
        <w:t>и пять туристских маршрутов. Туристские</w:t>
      </w:r>
      <w:r w:rsidRPr="00B77B82">
        <w:t xml:space="preserve"> </w:t>
      </w:r>
      <w:r w:rsidRPr="00B77B82">
        <w:lastRenderedPageBreak/>
        <w:t>маршруты представлены как однодневными маршрутами, так и турами на</w:t>
      </w:r>
      <w:r>
        <w:t xml:space="preserve"> несколько дней. </w:t>
      </w:r>
      <w:r w:rsidRPr="00B77B82">
        <w:t>Муниципалитет оказывает поддержку предприятиям сферы туризма посредством пред</w:t>
      </w:r>
      <w:r>
        <w:t>оставления грантовой поддержки.</w:t>
      </w:r>
    </w:p>
    <w:p w14:paraId="06D6688D" w14:textId="7FD7206E" w:rsidR="002A44AA" w:rsidRDefault="0071424E" w:rsidP="00A93D7F">
      <w:r>
        <w:t>Конкурентным</w:t>
      </w:r>
      <w:r w:rsidRPr="00CE0F1A">
        <w:t xml:space="preserve"> преимуществ</w:t>
      </w:r>
      <w:r>
        <w:t>ом туристической сферы</w:t>
      </w:r>
      <w:r w:rsidRPr="00CE0F1A">
        <w:t xml:space="preserve"> Нефтеюганского района </w:t>
      </w:r>
      <w:r>
        <w:t xml:space="preserve">также </w:t>
      </w:r>
      <w:r w:rsidRPr="006B4165">
        <w:t>является географическое положение и транспортная доступность: район выгодно расположен относительно крупных региональных городов – Сургута, Ханты-Мансийска и Нижневартовска, а прохождение по территории района федеральной трассы дает возможность для развития придорожного сервиса (гостиничные комплексы, общественное питание). Имеющийся ресурсный потенциал в туристической сфере формирует предпосылки для развития культурно-познавательного, этнографического, событийного и спортивного туризма.</w:t>
      </w:r>
    </w:p>
    <w:p w14:paraId="71BFD73B" w14:textId="77777777" w:rsidR="006B6BA9" w:rsidRDefault="006B6BA9" w:rsidP="00A93D7F"/>
    <w:p w14:paraId="263DD461" w14:textId="65E79DF4" w:rsidR="00557228" w:rsidRPr="00391462" w:rsidRDefault="00557228" w:rsidP="00391462">
      <w:pPr>
        <w:jc w:val="center"/>
        <w:rPr>
          <w:b/>
        </w:rPr>
      </w:pPr>
      <w:r w:rsidRPr="00391462">
        <w:rPr>
          <w:b/>
        </w:rPr>
        <w:t>Демографическая ситуация</w:t>
      </w:r>
    </w:p>
    <w:p w14:paraId="2C3A0F8A" w14:textId="77777777" w:rsidR="00C24B20" w:rsidRDefault="00C24B20" w:rsidP="00A93D7F"/>
    <w:p w14:paraId="3ECEC280" w14:textId="44B980BA" w:rsidR="003A6903" w:rsidRDefault="003A6903" w:rsidP="00A93D7F">
      <w:r>
        <w:t xml:space="preserve">Численность населения района по данным на </w:t>
      </w:r>
      <w:r w:rsidRPr="001E3E47">
        <w:t xml:space="preserve">01.01.2017 г. </w:t>
      </w:r>
      <w:r>
        <w:t>составила 45 215 человек, из них городское население составляет 26 436 человек, сельское – 18 779 человек.</w:t>
      </w:r>
      <w:r w:rsidRPr="008C673F">
        <w:t xml:space="preserve"> </w:t>
      </w:r>
      <w:r>
        <w:t>Степень урбанизации Нефтеюганского района составляет 58,5%, система расселения характеризуется низкой плотностью населения, характерной для районов Крайнего севера (</w:t>
      </w:r>
      <w:r w:rsidRPr="001B70FD">
        <w:t>1,8 чел./км</w:t>
      </w:r>
      <w:r w:rsidRPr="001B70FD">
        <w:rPr>
          <w:vertAlign w:val="superscript"/>
        </w:rPr>
        <w:t>2</w:t>
      </w:r>
      <w:r>
        <w:t>). Крупнейшими по численности населения поселениями являются гп. Пойковский (26 436 человек), сп. Салым (7 410 человек), сп. Сингапай (3 766 человек) и сп. Куть-Ях (2 113 человек).</w:t>
      </w:r>
    </w:p>
    <w:p w14:paraId="053D8C5B" w14:textId="26604862" w:rsidR="003A6903" w:rsidRDefault="003A6903" w:rsidP="00A93D7F">
      <w:r w:rsidRPr="00643DF9">
        <w:t xml:space="preserve">Среднегодовая численность постоянного населения Нефтеюганского района за 2011-2013 </w:t>
      </w:r>
      <w:r>
        <w:t xml:space="preserve">годы уменьшалась в среднем на 5% в год, что </w:t>
      </w:r>
      <w:r w:rsidRPr="00643DF9">
        <w:t>обусловлено</w:t>
      </w:r>
      <w:r>
        <w:t>, в первую очередь,</w:t>
      </w:r>
      <w:r w:rsidRPr="00643DF9">
        <w:t xml:space="preserve"> миграционными процессами (в среднем за три года по причине миграции население </w:t>
      </w:r>
      <w:r>
        <w:t>сокращалось</w:t>
      </w:r>
      <w:r w:rsidRPr="00643DF9">
        <w:t xml:space="preserve"> на 590 человек в год). В 2014 году наметилась положительная тенденция увеличения среднегодовой численности постоянного населения, </w:t>
      </w:r>
      <w:r>
        <w:t>обусловленная естественным и миграционным приростом</w:t>
      </w:r>
      <w:r w:rsidRPr="00643DF9">
        <w:t xml:space="preserve"> населения.</w:t>
      </w:r>
    </w:p>
    <w:p w14:paraId="62DD9228" w14:textId="77777777" w:rsidR="00F15BD5" w:rsidRDefault="00F15BD5" w:rsidP="00A93D7F"/>
    <w:p w14:paraId="28D9D16E" w14:textId="77777777" w:rsidR="00F15BD5" w:rsidRDefault="00F15BD5" w:rsidP="00A93D7F">
      <w:pPr>
        <w:pStyle w:val="ac"/>
      </w:pPr>
      <w:r>
        <w:t xml:space="preserve">Таблица </w:t>
      </w:r>
      <w:fldSimple w:instr=" SEQ Таблица \* ARABIC ">
        <w:r w:rsidR="00ED1BAA">
          <w:rPr>
            <w:noProof/>
          </w:rPr>
          <w:t>5</w:t>
        </w:r>
      </w:fldSimple>
      <w:r>
        <w:t xml:space="preserve"> </w:t>
      </w:r>
    </w:p>
    <w:p w14:paraId="6A659792" w14:textId="411A1524" w:rsidR="00196CD1" w:rsidRPr="007147A5" w:rsidRDefault="00F15BD5" w:rsidP="00A93D7F">
      <w:pPr>
        <w:pStyle w:val="ac"/>
      </w:pPr>
      <w:r w:rsidRPr="00027DB4">
        <w:t>Динамика демографических показателей в 2011-2016 гг.</w:t>
      </w:r>
    </w:p>
    <w:tbl>
      <w:tblPr>
        <w:tblStyle w:val="ab"/>
        <w:tblW w:w="0" w:type="auto"/>
        <w:jc w:val="center"/>
        <w:tblLook w:val="04A0" w:firstRow="1" w:lastRow="0" w:firstColumn="1" w:lastColumn="0" w:noHBand="0" w:noVBand="1"/>
      </w:tblPr>
      <w:tblGrid>
        <w:gridCol w:w="3845"/>
        <w:gridCol w:w="820"/>
        <w:gridCol w:w="819"/>
        <w:gridCol w:w="819"/>
        <w:gridCol w:w="819"/>
        <w:gridCol w:w="819"/>
        <w:gridCol w:w="819"/>
      </w:tblGrid>
      <w:tr w:rsidR="00F15BD5" w:rsidRPr="00027DB4" w14:paraId="0EF0E3A4" w14:textId="77777777" w:rsidTr="00196CD1">
        <w:trPr>
          <w:trHeight w:val="351"/>
          <w:jc w:val="center"/>
        </w:trPr>
        <w:tc>
          <w:tcPr>
            <w:tcW w:w="3845" w:type="dxa"/>
            <w:noWrap/>
            <w:vAlign w:val="center"/>
            <w:hideMark/>
          </w:tcPr>
          <w:p w14:paraId="1FB2706F" w14:textId="016A69B3" w:rsidR="00F15BD5" w:rsidRPr="00027DB4" w:rsidRDefault="00196CD1" w:rsidP="00391462">
            <w:pPr>
              <w:pStyle w:val="af7"/>
            </w:pPr>
            <w:r>
              <w:t>Наименование показателя</w:t>
            </w:r>
          </w:p>
        </w:tc>
        <w:tc>
          <w:tcPr>
            <w:tcW w:w="820" w:type="dxa"/>
            <w:noWrap/>
            <w:vAlign w:val="center"/>
            <w:hideMark/>
          </w:tcPr>
          <w:p w14:paraId="1B900D38" w14:textId="77777777" w:rsidR="00F15BD5" w:rsidRPr="00027DB4" w:rsidRDefault="00F15BD5" w:rsidP="00391462">
            <w:pPr>
              <w:pStyle w:val="af7"/>
              <w:jc w:val="center"/>
            </w:pPr>
            <w:r w:rsidRPr="00027DB4">
              <w:t>2011</w:t>
            </w:r>
          </w:p>
        </w:tc>
        <w:tc>
          <w:tcPr>
            <w:tcW w:w="819" w:type="dxa"/>
            <w:noWrap/>
            <w:vAlign w:val="center"/>
            <w:hideMark/>
          </w:tcPr>
          <w:p w14:paraId="0057EE58" w14:textId="77777777" w:rsidR="00F15BD5" w:rsidRPr="00027DB4" w:rsidRDefault="00F15BD5" w:rsidP="00391462">
            <w:pPr>
              <w:pStyle w:val="af7"/>
              <w:jc w:val="center"/>
            </w:pPr>
            <w:r w:rsidRPr="00027DB4">
              <w:t>2012</w:t>
            </w:r>
          </w:p>
        </w:tc>
        <w:tc>
          <w:tcPr>
            <w:tcW w:w="819" w:type="dxa"/>
            <w:noWrap/>
            <w:vAlign w:val="center"/>
            <w:hideMark/>
          </w:tcPr>
          <w:p w14:paraId="485F6702" w14:textId="77777777" w:rsidR="00F15BD5" w:rsidRPr="00027DB4" w:rsidRDefault="00F15BD5" w:rsidP="00391462">
            <w:pPr>
              <w:pStyle w:val="af7"/>
              <w:jc w:val="center"/>
            </w:pPr>
            <w:r w:rsidRPr="00027DB4">
              <w:t>2013</w:t>
            </w:r>
          </w:p>
        </w:tc>
        <w:tc>
          <w:tcPr>
            <w:tcW w:w="819" w:type="dxa"/>
            <w:noWrap/>
            <w:vAlign w:val="center"/>
            <w:hideMark/>
          </w:tcPr>
          <w:p w14:paraId="0EFF84AF" w14:textId="77777777" w:rsidR="00F15BD5" w:rsidRPr="00027DB4" w:rsidRDefault="00F15BD5" w:rsidP="00391462">
            <w:pPr>
              <w:pStyle w:val="af7"/>
              <w:jc w:val="center"/>
            </w:pPr>
            <w:r w:rsidRPr="00027DB4">
              <w:t>2014</w:t>
            </w:r>
          </w:p>
        </w:tc>
        <w:tc>
          <w:tcPr>
            <w:tcW w:w="819" w:type="dxa"/>
            <w:noWrap/>
            <w:vAlign w:val="center"/>
            <w:hideMark/>
          </w:tcPr>
          <w:p w14:paraId="7B91DDF9" w14:textId="77777777" w:rsidR="00F15BD5" w:rsidRPr="00027DB4" w:rsidRDefault="00F15BD5" w:rsidP="00391462">
            <w:pPr>
              <w:pStyle w:val="af7"/>
              <w:jc w:val="center"/>
            </w:pPr>
            <w:r w:rsidRPr="00027DB4">
              <w:t>2015</w:t>
            </w:r>
          </w:p>
        </w:tc>
        <w:tc>
          <w:tcPr>
            <w:tcW w:w="819" w:type="dxa"/>
            <w:noWrap/>
            <w:vAlign w:val="center"/>
            <w:hideMark/>
          </w:tcPr>
          <w:p w14:paraId="25FDA6B3" w14:textId="77777777" w:rsidR="00F15BD5" w:rsidRPr="00027DB4" w:rsidRDefault="00F15BD5" w:rsidP="00391462">
            <w:pPr>
              <w:pStyle w:val="af7"/>
              <w:jc w:val="center"/>
            </w:pPr>
            <w:r w:rsidRPr="00027DB4">
              <w:t>2016</w:t>
            </w:r>
          </w:p>
        </w:tc>
      </w:tr>
      <w:tr w:rsidR="00F15BD5" w:rsidRPr="00027DB4" w14:paraId="4D354374" w14:textId="77777777" w:rsidTr="00196CD1">
        <w:trPr>
          <w:trHeight w:val="300"/>
          <w:jc w:val="center"/>
        </w:trPr>
        <w:tc>
          <w:tcPr>
            <w:tcW w:w="3845" w:type="dxa"/>
            <w:noWrap/>
            <w:vAlign w:val="center"/>
            <w:hideMark/>
          </w:tcPr>
          <w:p w14:paraId="4A59D069" w14:textId="77777777" w:rsidR="00F15BD5" w:rsidRPr="00027DB4" w:rsidRDefault="00F15BD5" w:rsidP="00391462">
            <w:pPr>
              <w:pStyle w:val="af7"/>
            </w:pPr>
            <w:r w:rsidRPr="00027DB4">
              <w:t>Ч</w:t>
            </w:r>
            <w:r>
              <w:t xml:space="preserve">исленность населения на 1 янв, </w:t>
            </w:r>
            <w:r w:rsidRPr="00027DB4">
              <w:t>чел</w:t>
            </w:r>
            <w:r>
              <w:t>.</w:t>
            </w:r>
          </w:p>
        </w:tc>
        <w:tc>
          <w:tcPr>
            <w:tcW w:w="820" w:type="dxa"/>
            <w:noWrap/>
            <w:vAlign w:val="center"/>
            <w:hideMark/>
          </w:tcPr>
          <w:p w14:paraId="729D3112" w14:textId="77777777" w:rsidR="00F15BD5" w:rsidRPr="00027DB4" w:rsidRDefault="00F15BD5" w:rsidP="00391462">
            <w:pPr>
              <w:pStyle w:val="af7"/>
              <w:jc w:val="center"/>
            </w:pPr>
            <w:r w:rsidRPr="00027DB4">
              <w:t>44746</w:t>
            </w:r>
          </w:p>
        </w:tc>
        <w:tc>
          <w:tcPr>
            <w:tcW w:w="819" w:type="dxa"/>
            <w:noWrap/>
            <w:vAlign w:val="center"/>
            <w:hideMark/>
          </w:tcPr>
          <w:p w14:paraId="13707315" w14:textId="77777777" w:rsidR="00F15BD5" w:rsidRPr="00027DB4" w:rsidRDefault="00F15BD5" w:rsidP="00391462">
            <w:pPr>
              <w:pStyle w:val="af7"/>
              <w:jc w:val="center"/>
            </w:pPr>
            <w:r w:rsidRPr="00027DB4">
              <w:t>44407</w:t>
            </w:r>
          </w:p>
        </w:tc>
        <w:tc>
          <w:tcPr>
            <w:tcW w:w="819" w:type="dxa"/>
            <w:noWrap/>
            <w:vAlign w:val="center"/>
            <w:hideMark/>
          </w:tcPr>
          <w:p w14:paraId="5BFBA3B3" w14:textId="77777777" w:rsidR="00F15BD5" w:rsidRPr="00027DB4" w:rsidRDefault="00F15BD5" w:rsidP="00391462">
            <w:pPr>
              <w:pStyle w:val="af7"/>
              <w:jc w:val="center"/>
            </w:pPr>
            <w:r w:rsidRPr="00027DB4">
              <w:t>44359</w:t>
            </w:r>
          </w:p>
        </w:tc>
        <w:tc>
          <w:tcPr>
            <w:tcW w:w="819" w:type="dxa"/>
            <w:noWrap/>
            <w:vAlign w:val="center"/>
            <w:hideMark/>
          </w:tcPr>
          <w:p w14:paraId="5FC3F745" w14:textId="77777777" w:rsidR="00F15BD5" w:rsidRPr="00027DB4" w:rsidRDefault="00F15BD5" w:rsidP="00391462">
            <w:pPr>
              <w:pStyle w:val="af7"/>
              <w:jc w:val="center"/>
            </w:pPr>
            <w:r w:rsidRPr="00027DB4">
              <w:t>44094</w:t>
            </w:r>
          </w:p>
        </w:tc>
        <w:tc>
          <w:tcPr>
            <w:tcW w:w="819" w:type="dxa"/>
            <w:noWrap/>
            <w:vAlign w:val="center"/>
            <w:hideMark/>
          </w:tcPr>
          <w:p w14:paraId="7BF20BD2" w14:textId="77777777" w:rsidR="00F15BD5" w:rsidRPr="00027DB4" w:rsidRDefault="00F15BD5" w:rsidP="00391462">
            <w:pPr>
              <w:pStyle w:val="af7"/>
              <w:jc w:val="center"/>
            </w:pPr>
            <w:r w:rsidRPr="00027DB4">
              <w:t>44709</w:t>
            </w:r>
          </w:p>
        </w:tc>
        <w:tc>
          <w:tcPr>
            <w:tcW w:w="819" w:type="dxa"/>
            <w:noWrap/>
            <w:vAlign w:val="center"/>
            <w:hideMark/>
          </w:tcPr>
          <w:p w14:paraId="0FBC7DDD" w14:textId="77777777" w:rsidR="00F15BD5" w:rsidRPr="00027DB4" w:rsidRDefault="00F15BD5" w:rsidP="00391462">
            <w:pPr>
              <w:pStyle w:val="af7"/>
              <w:jc w:val="center"/>
            </w:pPr>
            <w:r w:rsidRPr="00027DB4">
              <w:t>45010</w:t>
            </w:r>
          </w:p>
        </w:tc>
      </w:tr>
      <w:tr w:rsidR="00CD3342" w:rsidRPr="00027DB4" w14:paraId="0683499D" w14:textId="77777777" w:rsidTr="00CD3342">
        <w:trPr>
          <w:trHeight w:val="300"/>
          <w:jc w:val="center"/>
        </w:trPr>
        <w:tc>
          <w:tcPr>
            <w:tcW w:w="3845" w:type="dxa"/>
            <w:noWrap/>
            <w:vAlign w:val="center"/>
          </w:tcPr>
          <w:p w14:paraId="4225FEC4" w14:textId="75ABC56D" w:rsidR="00CD3342" w:rsidRDefault="00CD3342" w:rsidP="00391462">
            <w:pPr>
              <w:pStyle w:val="af7"/>
            </w:pPr>
            <w:r>
              <w:t>Механический прирост, чел.</w:t>
            </w:r>
          </w:p>
        </w:tc>
        <w:tc>
          <w:tcPr>
            <w:tcW w:w="820" w:type="dxa"/>
            <w:noWrap/>
            <w:vAlign w:val="center"/>
          </w:tcPr>
          <w:p w14:paraId="46AB73F4" w14:textId="5185A1F9" w:rsidR="00CD3342" w:rsidRPr="00CD3342" w:rsidRDefault="00CD3342" w:rsidP="00391462">
            <w:pPr>
              <w:pStyle w:val="af7"/>
              <w:jc w:val="center"/>
            </w:pPr>
            <w:r w:rsidRPr="00CD3342">
              <w:t>-727</w:t>
            </w:r>
          </w:p>
        </w:tc>
        <w:tc>
          <w:tcPr>
            <w:tcW w:w="819" w:type="dxa"/>
            <w:noWrap/>
            <w:vAlign w:val="center"/>
          </w:tcPr>
          <w:p w14:paraId="3A8C2DCF" w14:textId="0EA3B1F0" w:rsidR="00CD3342" w:rsidRPr="00CD3342" w:rsidRDefault="00CD3342" w:rsidP="00391462">
            <w:pPr>
              <w:pStyle w:val="af7"/>
              <w:jc w:val="center"/>
            </w:pPr>
            <w:r w:rsidRPr="00CD3342">
              <w:t>-443</w:t>
            </w:r>
          </w:p>
        </w:tc>
        <w:tc>
          <w:tcPr>
            <w:tcW w:w="819" w:type="dxa"/>
            <w:noWrap/>
            <w:vAlign w:val="center"/>
          </w:tcPr>
          <w:p w14:paraId="2EC633B2" w14:textId="38EE0DEB" w:rsidR="00CD3342" w:rsidRPr="00CD3342" w:rsidRDefault="00CD3342" w:rsidP="00391462">
            <w:pPr>
              <w:pStyle w:val="af7"/>
              <w:jc w:val="center"/>
            </w:pPr>
            <w:r w:rsidRPr="00CD3342">
              <w:t>-602</w:t>
            </w:r>
          </w:p>
        </w:tc>
        <w:tc>
          <w:tcPr>
            <w:tcW w:w="819" w:type="dxa"/>
            <w:noWrap/>
            <w:vAlign w:val="center"/>
          </w:tcPr>
          <w:p w14:paraId="04B9F0CF" w14:textId="1F98C006" w:rsidR="00CD3342" w:rsidRPr="00CD3342" w:rsidRDefault="00CD3342" w:rsidP="00391462">
            <w:pPr>
              <w:pStyle w:val="af7"/>
              <w:jc w:val="center"/>
            </w:pPr>
            <w:r w:rsidRPr="00CD3342">
              <w:t>309</w:t>
            </w:r>
          </w:p>
        </w:tc>
        <w:tc>
          <w:tcPr>
            <w:tcW w:w="819" w:type="dxa"/>
            <w:noWrap/>
            <w:vAlign w:val="center"/>
          </w:tcPr>
          <w:p w14:paraId="6C57F111" w14:textId="420B5CE1" w:rsidR="00CD3342" w:rsidRPr="00CD3342" w:rsidRDefault="00CD3342" w:rsidP="00391462">
            <w:pPr>
              <w:pStyle w:val="af7"/>
              <w:jc w:val="center"/>
            </w:pPr>
            <w:r w:rsidRPr="00CD3342">
              <w:t>-13</w:t>
            </w:r>
          </w:p>
        </w:tc>
        <w:tc>
          <w:tcPr>
            <w:tcW w:w="819" w:type="dxa"/>
            <w:noWrap/>
            <w:vAlign w:val="center"/>
          </w:tcPr>
          <w:p w14:paraId="04C7F80A" w14:textId="48F6EE24" w:rsidR="00CD3342" w:rsidRPr="00CD3342" w:rsidRDefault="00CD3342" w:rsidP="00391462">
            <w:pPr>
              <w:pStyle w:val="af7"/>
              <w:jc w:val="center"/>
            </w:pPr>
            <w:r w:rsidRPr="00CD3342">
              <w:t>-23</w:t>
            </w:r>
          </w:p>
        </w:tc>
      </w:tr>
      <w:tr w:rsidR="00F15BD5" w:rsidRPr="00027DB4" w14:paraId="7E48B1CF" w14:textId="77777777" w:rsidTr="00196CD1">
        <w:trPr>
          <w:trHeight w:val="300"/>
          <w:jc w:val="center"/>
        </w:trPr>
        <w:tc>
          <w:tcPr>
            <w:tcW w:w="3845" w:type="dxa"/>
            <w:noWrap/>
            <w:vAlign w:val="center"/>
            <w:hideMark/>
          </w:tcPr>
          <w:p w14:paraId="0F698D83" w14:textId="77777777" w:rsidR="00F15BD5" w:rsidRPr="00027DB4" w:rsidRDefault="00F15BD5" w:rsidP="00391462">
            <w:pPr>
              <w:pStyle w:val="af7"/>
            </w:pPr>
            <w:r>
              <w:t>Ч</w:t>
            </w:r>
            <w:r w:rsidRPr="00027DB4">
              <w:t xml:space="preserve">исло выбывших (миграция), чел. </w:t>
            </w:r>
          </w:p>
        </w:tc>
        <w:tc>
          <w:tcPr>
            <w:tcW w:w="820" w:type="dxa"/>
            <w:noWrap/>
            <w:vAlign w:val="center"/>
            <w:hideMark/>
          </w:tcPr>
          <w:p w14:paraId="5F66A24B" w14:textId="77777777" w:rsidR="00F15BD5" w:rsidRPr="00027DB4" w:rsidRDefault="00F15BD5" w:rsidP="00391462">
            <w:pPr>
              <w:pStyle w:val="af7"/>
              <w:jc w:val="center"/>
            </w:pPr>
            <w:r w:rsidRPr="00027DB4">
              <w:t>2617</w:t>
            </w:r>
          </w:p>
        </w:tc>
        <w:tc>
          <w:tcPr>
            <w:tcW w:w="819" w:type="dxa"/>
            <w:noWrap/>
            <w:vAlign w:val="center"/>
            <w:hideMark/>
          </w:tcPr>
          <w:p w14:paraId="7F6D10ED" w14:textId="77777777" w:rsidR="00F15BD5" w:rsidRPr="00027DB4" w:rsidRDefault="00F15BD5" w:rsidP="00391462">
            <w:pPr>
              <w:pStyle w:val="af7"/>
              <w:jc w:val="center"/>
            </w:pPr>
            <w:r w:rsidRPr="00027DB4">
              <w:t>2994</w:t>
            </w:r>
          </w:p>
        </w:tc>
        <w:tc>
          <w:tcPr>
            <w:tcW w:w="819" w:type="dxa"/>
            <w:noWrap/>
            <w:vAlign w:val="center"/>
            <w:hideMark/>
          </w:tcPr>
          <w:p w14:paraId="162F53B4" w14:textId="77777777" w:rsidR="00F15BD5" w:rsidRPr="00027DB4" w:rsidRDefault="00F15BD5" w:rsidP="00391462">
            <w:pPr>
              <w:pStyle w:val="af7"/>
              <w:jc w:val="center"/>
            </w:pPr>
            <w:r w:rsidRPr="00027DB4">
              <w:t>3038</w:t>
            </w:r>
          </w:p>
        </w:tc>
        <w:tc>
          <w:tcPr>
            <w:tcW w:w="819" w:type="dxa"/>
            <w:noWrap/>
            <w:vAlign w:val="center"/>
            <w:hideMark/>
          </w:tcPr>
          <w:p w14:paraId="30AAE0C1" w14:textId="77777777" w:rsidR="00F15BD5" w:rsidRPr="00027DB4" w:rsidRDefault="00F15BD5" w:rsidP="00391462">
            <w:pPr>
              <w:pStyle w:val="af7"/>
              <w:jc w:val="center"/>
            </w:pPr>
            <w:r w:rsidRPr="00027DB4">
              <w:t>2428</w:t>
            </w:r>
          </w:p>
        </w:tc>
        <w:tc>
          <w:tcPr>
            <w:tcW w:w="819" w:type="dxa"/>
            <w:noWrap/>
            <w:vAlign w:val="center"/>
            <w:hideMark/>
          </w:tcPr>
          <w:p w14:paraId="267D2714" w14:textId="77777777" w:rsidR="00F15BD5" w:rsidRPr="00027DB4" w:rsidRDefault="00F15BD5" w:rsidP="00391462">
            <w:pPr>
              <w:pStyle w:val="af7"/>
              <w:jc w:val="center"/>
            </w:pPr>
            <w:r w:rsidRPr="00027DB4">
              <w:t>2341</w:t>
            </w:r>
          </w:p>
        </w:tc>
        <w:tc>
          <w:tcPr>
            <w:tcW w:w="819" w:type="dxa"/>
            <w:noWrap/>
            <w:vAlign w:val="center"/>
            <w:hideMark/>
          </w:tcPr>
          <w:p w14:paraId="2A50F160" w14:textId="77777777" w:rsidR="00F15BD5" w:rsidRPr="00027DB4" w:rsidRDefault="00F15BD5" w:rsidP="00391462">
            <w:pPr>
              <w:pStyle w:val="af7"/>
              <w:jc w:val="center"/>
            </w:pPr>
            <w:r w:rsidRPr="00027DB4">
              <w:t>2614</w:t>
            </w:r>
          </w:p>
        </w:tc>
      </w:tr>
      <w:tr w:rsidR="00F15BD5" w:rsidRPr="00027DB4" w14:paraId="6479EF94" w14:textId="77777777" w:rsidTr="00196CD1">
        <w:trPr>
          <w:trHeight w:val="300"/>
          <w:jc w:val="center"/>
        </w:trPr>
        <w:tc>
          <w:tcPr>
            <w:tcW w:w="3845" w:type="dxa"/>
            <w:noWrap/>
            <w:vAlign w:val="center"/>
            <w:hideMark/>
          </w:tcPr>
          <w:p w14:paraId="5EBC1C0A" w14:textId="77777777" w:rsidR="00F15BD5" w:rsidRPr="00027DB4" w:rsidRDefault="00F15BD5" w:rsidP="00391462">
            <w:pPr>
              <w:pStyle w:val="af7"/>
            </w:pPr>
            <w:r>
              <w:t>Ч</w:t>
            </w:r>
            <w:r w:rsidRPr="00027DB4">
              <w:t xml:space="preserve">исло прибывших (миграция), чел. </w:t>
            </w:r>
          </w:p>
        </w:tc>
        <w:tc>
          <w:tcPr>
            <w:tcW w:w="820" w:type="dxa"/>
            <w:noWrap/>
            <w:vAlign w:val="center"/>
            <w:hideMark/>
          </w:tcPr>
          <w:p w14:paraId="718C8C83" w14:textId="77777777" w:rsidR="00F15BD5" w:rsidRPr="00027DB4" w:rsidRDefault="00F15BD5" w:rsidP="00391462">
            <w:pPr>
              <w:pStyle w:val="af7"/>
              <w:jc w:val="center"/>
            </w:pPr>
            <w:r w:rsidRPr="00027DB4">
              <w:t>1890</w:t>
            </w:r>
          </w:p>
        </w:tc>
        <w:tc>
          <w:tcPr>
            <w:tcW w:w="819" w:type="dxa"/>
            <w:noWrap/>
            <w:vAlign w:val="center"/>
            <w:hideMark/>
          </w:tcPr>
          <w:p w14:paraId="37F77879" w14:textId="77777777" w:rsidR="00F15BD5" w:rsidRPr="00027DB4" w:rsidRDefault="00F15BD5" w:rsidP="00391462">
            <w:pPr>
              <w:pStyle w:val="af7"/>
              <w:jc w:val="center"/>
            </w:pPr>
            <w:r w:rsidRPr="00027DB4">
              <w:t>2551</w:t>
            </w:r>
          </w:p>
        </w:tc>
        <w:tc>
          <w:tcPr>
            <w:tcW w:w="819" w:type="dxa"/>
            <w:noWrap/>
            <w:vAlign w:val="center"/>
            <w:hideMark/>
          </w:tcPr>
          <w:p w14:paraId="2BD58F9A" w14:textId="77777777" w:rsidR="00F15BD5" w:rsidRPr="00027DB4" w:rsidRDefault="00F15BD5" w:rsidP="00391462">
            <w:pPr>
              <w:pStyle w:val="af7"/>
              <w:jc w:val="center"/>
            </w:pPr>
            <w:r w:rsidRPr="00027DB4">
              <w:t>2436</w:t>
            </w:r>
          </w:p>
        </w:tc>
        <w:tc>
          <w:tcPr>
            <w:tcW w:w="819" w:type="dxa"/>
            <w:noWrap/>
            <w:vAlign w:val="center"/>
            <w:hideMark/>
          </w:tcPr>
          <w:p w14:paraId="3AF2D206" w14:textId="77777777" w:rsidR="00F15BD5" w:rsidRPr="00027DB4" w:rsidRDefault="00F15BD5" w:rsidP="00391462">
            <w:pPr>
              <w:pStyle w:val="af7"/>
              <w:jc w:val="center"/>
            </w:pPr>
            <w:r w:rsidRPr="00027DB4">
              <w:t>2737</w:t>
            </w:r>
          </w:p>
        </w:tc>
        <w:tc>
          <w:tcPr>
            <w:tcW w:w="819" w:type="dxa"/>
            <w:noWrap/>
            <w:vAlign w:val="center"/>
            <w:hideMark/>
          </w:tcPr>
          <w:p w14:paraId="10700A2C" w14:textId="77777777" w:rsidR="00F15BD5" w:rsidRPr="00027DB4" w:rsidRDefault="00F15BD5" w:rsidP="00391462">
            <w:pPr>
              <w:pStyle w:val="af7"/>
              <w:jc w:val="center"/>
            </w:pPr>
            <w:r w:rsidRPr="00027DB4">
              <w:t>2328</w:t>
            </w:r>
          </w:p>
        </w:tc>
        <w:tc>
          <w:tcPr>
            <w:tcW w:w="819" w:type="dxa"/>
            <w:noWrap/>
            <w:vAlign w:val="center"/>
            <w:hideMark/>
          </w:tcPr>
          <w:p w14:paraId="3542F33B" w14:textId="77777777" w:rsidR="00F15BD5" w:rsidRPr="00027DB4" w:rsidRDefault="00F15BD5" w:rsidP="00391462">
            <w:pPr>
              <w:pStyle w:val="af7"/>
              <w:jc w:val="center"/>
            </w:pPr>
            <w:r w:rsidRPr="00027DB4">
              <w:t>2591</w:t>
            </w:r>
          </w:p>
        </w:tc>
      </w:tr>
      <w:tr w:rsidR="00DF37FF" w:rsidRPr="00027DB4" w14:paraId="58FEFAB1" w14:textId="77777777" w:rsidTr="00196CD1">
        <w:trPr>
          <w:trHeight w:val="300"/>
          <w:jc w:val="center"/>
        </w:trPr>
        <w:tc>
          <w:tcPr>
            <w:tcW w:w="3845" w:type="dxa"/>
            <w:noWrap/>
            <w:vAlign w:val="center"/>
          </w:tcPr>
          <w:p w14:paraId="64C79907" w14:textId="25252AA7" w:rsidR="00DF37FF" w:rsidRDefault="00DF37FF" w:rsidP="00391462">
            <w:pPr>
              <w:pStyle w:val="af7"/>
            </w:pPr>
            <w:r>
              <w:t>Е</w:t>
            </w:r>
            <w:r w:rsidRPr="00027DB4">
              <w:t>стественный прирост, чел.</w:t>
            </w:r>
          </w:p>
        </w:tc>
        <w:tc>
          <w:tcPr>
            <w:tcW w:w="820" w:type="dxa"/>
            <w:noWrap/>
            <w:vAlign w:val="center"/>
          </w:tcPr>
          <w:p w14:paraId="58468439" w14:textId="4F0B6E10" w:rsidR="00DF37FF" w:rsidRPr="00027DB4" w:rsidRDefault="00DF37FF" w:rsidP="00391462">
            <w:pPr>
              <w:pStyle w:val="af7"/>
              <w:jc w:val="center"/>
            </w:pPr>
            <w:r>
              <w:t>388</w:t>
            </w:r>
          </w:p>
        </w:tc>
        <w:tc>
          <w:tcPr>
            <w:tcW w:w="819" w:type="dxa"/>
            <w:noWrap/>
            <w:vAlign w:val="center"/>
          </w:tcPr>
          <w:p w14:paraId="244B6104" w14:textId="1DE21DF0" w:rsidR="00DF37FF" w:rsidRPr="00027DB4" w:rsidRDefault="00DF37FF" w:rsidP="00391462">
            <w:pPr>
              <w:pStyle w:val="af7"/>
              <w:jc w:val="center"/>
            </w:pPr>
            <w:r w:rsidRPr="00027DB4">
              <w:t>395</w:t>
            </w:r>
          </w:p>
        </w:tc>
        <w:tc>
          <w:tcPr>
            <w:tcW w:w="819" w:type="dxa"/>
            <w:noWrap/>
            <w:vAlign w:val="center"/>
          </w:tcPr>
          <w:p w14:paraId="7AD595EA" w14:textId="06A34ECB" w:rsidR="00DF37FF" w:rsidRPr="00027DB4" w:rsidRDefault="00DF37FF" w:rsidP="00391462">
            <w:pPr>
              <w:pStyle w:val="af7"/>
              <w:jc w:val="center"/>
            </w:pPr>
            <w:r w:rsidRPr="00027DB4">
              <w:t>337</w:t>
            </w:r>
          </w:p>
        </w:tc>
        <w:tc>
          <w:tcPr>
            <w:tcW w:w="819" w:type="dxa"/>
            <w:noWrap/>
            <w:vAlign w:val="center"/>
          </w:tcPr>
          <w:p w14:paraId="6EE52C70" w14:textId="4212639D" w:rsidR="00DF37FF" w:rsidRPr="00027DB4" w:rsidRDefault="00DF37FF" w:rsidP="00391462">
            <w:pPr>
              <w:pStyle w:val="af7"/>
              <w:jc w:val="center"/>
            </w:pPr>
            <w:r w:rsidRPr="00027DB4">
              <w:t>306</w:t>
            </w:r>
          </w:p>
        </w:tc>
        <w:tc>
          <w:tcPr>
            <w:tcW w:w="819" w:type="dxa"/>
            <w:noWrap/>
            <w:vAlign w:val="center"/>
          </w:tcPr>
          <w:p w14:paraId="68E6BD65" w14:textId="56845BC5" w:rsidR="00DF37FF" w:rsidRPr="00027DB4" w:rsidRDefault="00DF37FF" w:rsidP="00391462">
            <w:pPr>
              <w:pStyle w:val="af7"/>
              <w:jc w:val="center"/>
            </w:pPr>
            <w:r w:rsidRPr="00027DB4">
              <w:t>314</w:t>
            </w:r>
          </w:p>
        </w:tc>
        <w:tc>
          <w:tcPr>
            <w:tcW w:w="819" w:type="dxa"/>
            <w:noWrap/>
            <w:vAlign w:val="center"/>
          </w:tcPr>
          <w:p w14:paraId="76FCBD81" w14:textId="2EC17753" w:rsidR="00DF37FF" w:rsidRPr="00027DB4" w:rsidRDefault="00DF37FF" w:rsidP="00391462">
            <w:pPr>
              <w:pStyle w:val="af7"/>
              <w:jc w:val="center"/>
            </w:pPr>
            <w:r w:rsidRPr="00027DB4">
              <w:t>228</w:t>
            </w:r>
          </w:p>
        </w:tc>
      </w:tr>
      <w:tr w:rsidR="00DF37FF" w:rsidRPr="00027DB4" w14:paraId="1ED48B10" w14:textId="77777777" w:rsidTr="00196CD1">
        <w:trPr>
          <w:trHeight w:val="300"/>
          <w:jc w:val="center"/>
        </w:trPr>
        <w:tc>
          <w:tcPr>
            <w:tcW w:w="3845" w:type="dxa"/>
            <w:noWrap/>
            <w:vAlign w:val="center"/>
            <w:hideMark/>
          </w:tcPr>
          <w:p w14:paraId="34E8F61B" w14:textId="77777777" w:rsidR="00DF37FF" w:rsidRPr="00027DB4" w:rsidRDefault="00DF37FF" w:rsidP="00391462">
            <w:pPr>
              <w:pStyle w:val="af7"/>
            </w:pPr>
            <w:r w:rsidRPr="00027DB4">
              <w:t>Число родившихся (без мертворожденных), человек</w:t>
            </w:r>
          </w:p>
        </w:tc>
        <w:tc>
          <w:tcPr>
            <w:tcW w:w="820" w:type="dxa"/>
            <w:noWrap/>
            <w:vAlign w:val="center"/>
            <w:hideMark/>
          </w:tcPr>
          <w:p w14:paraId="68362E84" w14:textId="77777777" w:rsidR="00DF37FF" w:rsidRPr="00027DB4" w:rsidRDefault="00DF37FF" w:rsidP="00391462">
            <w:pPr>
              <w:pStyle w:val="af7"/>
              <w:jc w:val="center"/>
            </w:pPr>
            <w:r w:rsidRPr="00027DB4">
              <w:t>606</w:t>
            </w:r>
          </w:p>
        </w:tc>
        <w:tc>
          <w:tcPr>
            <w:tcW w:w="819" w:type="dxa"/>
            <w:noWrap/>
            <w:vAlign w:val="center"/>
            <w:hideMark/>
          </w:tcPr>
          <w:p w14:paraId="01A36D73" w14:textId="77777777" w:rsidR="00DF37FF" w:rsidRPr="00027DB4" w:rsidRDefault="00DF37FF" w:rsidP="00391462">
            <w:pPr>
              <w:pStyle w:val="af7"/>
              <w:jc w:val="center"/>
            </w:pPr>
            <w:r w:rsidRPr="00027DB4">
              <w:t>621</w:t>
            </w:r>
          </w:p>
        </w:tc>
        <w:tc>
          <w:tcPr>
            <w:tcW w:w="819" w:type="dxa"/>
            <w:noWrap/>
            <w:vAlign w:val="center"/>
            <w:hideMark/>
          </w:tcPr>
          <w:p w14:paraId="75AA930A" w14:textId="77777777" w:rsidR="00DF37FF" w:rsidRPr="00027DB4" w:rsidRDefault="00DF37FF" w:rsidP="00391462">
            <w:pPr>
              <w:pStyle w:val="af7"/>
              <w:jc w:val="center"/>
            </w:pPr>
            <w:r w:rsidRPr="00027DB4">
              <w:t>574</w:t>
            </w:r>
          </w:p>
        </w:tc>
        <w:tc>
          <w:tcPr>
            <w:tcW w:w="819" w:type="dxa"/>
            <w:noWrap/>
            <w:vAlign w:val="center"/>
            <w:hideMark/>
          </w:tcPr>
          <w:p w14:paraId="2BD7E4AA" w14:textId="77777777" w:rsidR="00DF37FF" w:rsidRPr="00027DB4" w:rsidRDefault="00DF37FF" w:rsidP="00391462">
            <w:pPr>
              <w:pStyle w:val="af7"/>
              <w:jc w:val="center"/>
            </w:pPr>
            <w:r w:rsidRPr="00027DB4">
              <w:t>562</w:t>
            </w:r>
          </w:p>
        </w:tc>
        <w:tc>
          <w:tcPr>
            <w:tcW w:w="819" w:type="dxa"/>
            <w:noWrap/>
            <w:vAlign w:val="center"/>
            <w:hideMark/>
          </w:tcPr>
          <w:p w14:paraId="146C20B5" w14:textId="77777777" w:rsidR="00DF37FF" w:rsidRPr="00027DB4" w:rsidRDefault="00DF37FF" w:rsidP="00391462">
            <w:pPr>
              <w:pStyle w:val="af7"/>
              <w:jc w:val="center"/>
            </w:pPr>
            <w:r w:rsidRPr="00027DB4">
              <w:t>542</w:t>
            </w:r>
          </w:p>
        </w:tc>
        <w:tc>
          <w:tcPr>
            <w:tcW w:w="819" w:type="dxa"/>
            <w:noWrap/>
            <w:vAlign w:val="center"/>
            <w:hideMark/>
          </w:tcPr>
          <w:p w14:paraId="132F7628" w14:textId="77777777" w:rsidR="00DF37FF" w:rsidRPr="00027DB4" w:rsidRDefault="00DF37FF" w:rsidP="00391462">
            <w:pPr>
              <w:pStyle w:val="af7"/>
              <w:jc w:val="center"/>
            </w:pPr>
            <w:r w:rsidRPr="00027DB4">
              <w:t>476</w:t>
            </w:r>
          </w:p>
        </w:tc>
      </w:tr>
      <w:tr w:rsidR="00DF37FF" w:rsidRPr="00027DB4" w14:paraId="3546173B" w14:textId="77777777" w:rsidTr="00196CD1">
        <w:trPr>
          <w:trHeight w:val="300"/>
          <w:jc w:val="center"/>
        </w:trPr>
        <w:tc>
          <w:tcPr>
            <w:tcW w:w="3845" w:type="dxa"/>
            <w:noWrap/>
            <w:vAlign w:val="center"/>
            <w:hideMark/>
          </w:tcPr>
          <w:p w14:paraId="5AE7B6EF" w14:textId="77777777" w:rsidR="00DF37FF" w:rsidRPr="00027DB4" w:rsidRDefault="00DF37FF" w:rsidP="00391462">
            <w:pPr>
              <w:pStyle w:val="af7"/>
            </w:pPr>
            <w:r w:rsidRPr="00027DB4">
              <w:t>Число умерших, чел</w:t>
            </w:r>
            <w:r>
              <w:t>.</w:t>
            </w:r>
          </w:p>
        </w:tc>
        <w:tc>
          <w:tcPr>
            <w:tcW w:w="820" w:type="dxa"/>
            <w:noWrap/>
            <w:vAlign w:val="center"/>
            <w:hideMark/>
          </w:tcPr>
          <w:p w14:paraId="0661CBAA" w14:textId="77777777" w:rsidR="00DF37FF" w:rsidRPr="00027DB4" w:rsidRDefault="00DF37FF" w:rsidP="00391462">
            <w:pPr>
              <w:pStyle w:val="af7"/>
              <w:jc w:val="center"/>
            </w:pPr>
            <w:r w:rsidRPr="00027DB4">
              <w:t>218</w:t>
            </w:r>
          </w:p>
        </w:tc>
        <w:tc>
          <w:tcPr>
            <w:tcW w:w="819" w:type="dxa"/>
            <w:noWrap/>
            <w:vAlign w:val="center"/>
            <w:hideMark/>
          </w:tcPr>
          <w:p w14:paraId="70CEEE41" w14:textId="77777777" w:rsidR="00DF37FF" w:rsidRPr="00027DB4" w:rsidRDefault="00DF37FF" w:rsidP="00391462">
            <w:pPr>
              <w:pStyle w:val="af7"/>
              <w:jc w:val="center"/>
            </w:pPr>
            <w:r w:rsidRPr="00027DB4">
              <w:t>226</w:t>
            </w:r>
          </w:p>
        </w:tc>
        <w:tc>
          <w:tcPr>
            <w:tcW w:w="819" w:type="dxa"/>
            <w:noWrap/>
            <w:vAlign w:val="center"/>
            <w:hideMark/>
          </w:tcPr>
          <w:p w14:paraId="4D9727FA" w14:textId="77777777" w:rsidR="00DF37FF" w:rsidRPr="00027DB4" w:rsidRDefault="00DF37FF" w:rsidP="00391462">
            <w:pPr>
              <w:pStyle w:val="af7"/>
              <w:jc w:val="center"/>
            </w:pPr>
            <w:r w:rsidRPr="00027DB4">
              <w:t>237</w:t>
            </w:r>
          </w:p>
        </w:tc>
        <w:tc>
          <w:tcPr>
            <w:tcW w:w="819" w:type="dxa"/>
            <w:noWrap/>
            <w:vAlign w:val="center"/>
            <w:hideMark/>
          </w:tcPr>
          <w:p w14:paraId="3AE57F1B" w14:textId="77777777" w:rsidR="00DF37FF" w:rsidRPr="00027DB4" w:rsidRDefault="00DF37FF" w:rsidP="00391462">
            <w:pPr>
              <w:pStyle w:val="af7"/>
              <w:jc w:val="center"/>
            </w:pPr>
            <w:r w:rsidRPr="00027DB4">
              <w:t>256</w:t>
            </w:r>
          </w:p>
        </w:tc>
        <w:tc>
          <w:tcPr>
            <w:tcW w:w="819" w:type="dxa"/>
            <w:noWrap/>
            <w:vAlign w:val="center"/>
            <w:hideMark/>
          </w:tcPr>
          <w:p w14:paraId="114A0E1F" w14:textId="77777777" w:rsidR="00DF37FF" w:rsidRPr="00027DB4" w:rsidRDefault="00DF37FF" w:rsidP="00391462">
            <w:pPr>
              <w:pStyle w:val="af7"/>
              <w:jc w:val="center"/>
            </w:pPr>
            <w:r w:rsidRPr="00027DB4">
              <w:t>228</w:t>
            </w:r>
          </w:p>
        </w:tc>
        <w:tc>
          <w:tcPr>
            <w:tcW w:w="819" w:type="dxa"/>
            <w:noWrap/>
            <w:vAlign w:val="center"/>
            <w:hideMark/>
          </w:tcPr>
          <w:p w14:paraId="610C7089" w14:textId="77777777" w:rsidR="00DF37FF" w:rsidRPr="00027DB4" w:rsidRDefault="00DF37FF" w:rsidP="00391462">
            <w:pPr>
              <w:pStyle w:val="af7"/>
              <w:jc w:val="center"/>
            </w:pPr>
            <w:r w:rsidRPr="00027DB4">
              <w:t>248</w:t>
            </w:r>
          </w:p>
        </w:tc>
      </w:tr>
    </w:tbl>
    <w:p w14:paraId="5CF5F5A5" w14:textId="77777777" w:rsidR="00F15BD5" w:rsidRPr="00391462" w:rsidRDefault="00F15BD5" w:rsidP="00A93D7F">
      <w:pPr>
        <w:rPr>
          <w:sz w:val="20"/>
          <w:szCs w:val="20"/>
        </w:rPr>
      </w:pPr>
      <w:r w:rsidRPr="00391462">
        <w:rPr>
          <w:sz w:val="20"/>
          <w:szCs w:val="20"/>
        </w:rPr>
        <w:t>Источник: Росстат</w:t>
      </w:r>
    </w:p>
    <w:p w14:paraId="23E87B95" w14:textId="77777777" w:rsidR="00F15BD5" w:rsidRPr="00111337" w:rsidRDefault="00F15BD5" w:rsidP="00A93D7F"/>
    <w:p w14:paraId="253E34C9" w14:textId="77777777" w:rsidR="003A6903" w:rsidRDefault="003A6903" w:rsidP="00A93D7F">
      <w:r w:rsidRPr="00111337">
        <w:t>Миграция продолжает</w:t>
      </w:r>
      <w:r w:rsidRPr="009D7402">
        <w:t xml:space="preserve"> играть важную роль в демографическом развитии Нефтеюганского района, обеспечивая прирост и омоложение населения. </w:t>
      </w:r>
      <w:r w:rsidRPr="006E362D">
        <w:t>Нефтеюганский район остается привлекательным для трудовых мигрантов в связи с высокой заработной платой в нефтегазовом секторе экономики, а также наличием вакансий рабочих специальностей.</w:t>
      </w:r>
      <w:r>
        <w:t xml:space="preserve"> В то же время, сохранение отрицательного миграционного сальдо обусловлено </w:t>
      </w:r>
      <w:r w:rsidRPr="00000733">
        <w:t>выезд</w:t>
      </w:r>
      <w:r>
        <w:t>ом</w:t>
      </w:r>
      <w:r w:rsidRPr="00000733">
        <w:t xml:space="preserve"> выпускников общеобразовательных учрежден</w:t>
      </w:r>
      <w:r>
        <w:t xml:space="preserve">ий на обучение в крупные города, </w:t>
      </w:r>
      <w:r w:rsidRPr="00000733">
        <w:t>приобретение</w:t>
      </w:r>
      <w:r>
        <w:t>м</w:t>
      </w:r>
      <w:r w:rsidRPr="00000733">
        <w:t xml:space="preserve"> жилья в </w:t>
      </w:r>
      <w:r>
        <w:t>соседних крупных городах, а также переселением пенсионеров в рамках государственной программы.</w:t>
      </w:r>
    </w:p>
    <w:p w14:paraId="4C70C829" w14:textId="1BEB61C6" w:rsidR="003A6903" w:rsidRDefault="003A6903" w:rsidP="00A93D7F">
      <w:r>
        <w:lastRenderedPageBreak/>
        <w:t xml:space="preserve">Общий коэффициент рождаемости Нефтеюганского района с 2012 года падает в среднем </w:t>
      </w:r>
      <w:r w:rsidRPr="00111337">
        <w:t xml:space="preserve">на </w:t>
      </w:r>
      <w:r w:rsidR="00E91A85">
        <w:t>0,85</w:t>
      </w:r>
      <w:r w:rsidR="00111337" w:rsidRPr="00111337">
        <w:rPr>
          <w:rFonts w:eastAsia="Times New Roman"/>
          <w:color w:val="222222"/>
          <w:shd w:val="clear" w:color="auto" w:fill="FFFFFF"/>
        </w:rPr>
        <w:t>‰</w:t>
      </w:r>
      <w:r w:rsidR="00111337" w:rsidRPr="00111337">
        <w:t xml:space="preserve"> </w:t>
      </w:r>
      <w:r w:rsidRPr="00111337">
        <w:t>в год</w:t>
      </w:r>
      <w:r>
        <w:t xml:space="preserve">. Общий коэффициент смертности достаточно стабилен и в среднем за 6 лет составил </w:t>
      </w:r>
      <w:r w:rsidRPr="0041518F">
        <w:t>5,3</w:t>
      </w:r>
      <w:r w:rsidRPr="0041518F">
        <w:rPr>
          <w:rFonts w:eastAsia="Times New Roman"/>
          <w:color w:val="222222"/>
          <w:shd w:val="clear" w:color="auto" w:fill="FFFFFF"/>
        </w:rPr>
        <w:t>‰</w:t>
      </w:r>
      <w:r w:rsidRPr="0041518F">
        <w:t>.</w:t>
      </w:r>
      <w:r>
        <w:t xml:space="preserve"> В среднем общий коэффициент рождаемости превышает общий коэффициент смертности примерно в 2,4 раза.</w:t>
      </w:r>
    </w:p>
    <w:p w14:paraId="50787C23" w14:textId="77777777" w:rsidR="00F7786D" w:rsidRDefault="00F7786D" w:rsidP="00A93D7F"/>
    <w:p w14:paraId="2B8D00BF" w14:textId="720FECC7" w:rsidR="00426F89" w:rsidRPr="00E135DC" w:rsidRDefault="00E135DC" w:rsidP="00A93D7F">
      <w:pPr>
        <w:rPr>
          <w:rFonts w:eastAsia="Times New Roman"/>
        </w:rPr>
      </w:pPr>
      <w:r>
        <w:rPr>
          <w:noProof/>
        </w:rPr>
        <w:drawing>
          <wp:inline distT="0" distB="0" distL="0" distR="0" wp14:anchorId="6EB38758" wp14:editId="5767941B">
            <wp:extent cx="5438140" cy="2615614"/>
            <wp:effectExtent l="0" t="0" r="0" b="635"/>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E9EC9E" w14:textId="431F331C" w:rsidR="003A6903" w:rsidRPr="00AB306E" w:rsidRDefault="003A6903" w:rsidP="00A93D7F">
      <w:pPr>
        <w:pStyle w:val="ac"/>
      </w:pPr>
      <w:r>
        <w:t xml:space="preserve">Рисунок </w:t>
      </w:r>
      <w:fldSimple w:instr=" SEQ Рисунок \* ARABIC ">
        <w:r w:rsidR="00ED1BAA">
          <w:rPr>
            <w:noProof/>
          </w:rPr>
          <w:t>1</w:t>
        </w:r>
      </w:fldSimple>
      <w:r w:rsidRPr="00AB306E">
        <w:t xml:space="preserve"> </w:t>
      </w:r>
      <w:r w:rsidR="0089294C" w:rsidRPr="0089294C">
        <w:t xml:space="preserve">Динамика демографических коэффициентов </w:t>
      </w:r>
      <w:r w:rsidR="00244E14" w:rsidRPr="0089294C">
        <w:t>в Нефтеюганском районе</w:t>
      </w:r>
      <w:r w:rsidR="0089294C" w:rsidRPr="0089294C">
        <w:t xml:space="preserve"> в</w:t>
      </w:r>
      <w:r w:rsidRPr="0089294C">
        <w:t xml:space="preserve"> 2011-2016 гг.</w:t>
      </w:r>
    </w:p>
    <w:p w14:paraId="23273108" w14:textId="77777777" w:rsidR="003A6903" w:rsidRDefault="003A6903" w:rsidP="00A93D7F"/>
    <w:p w14:paraId="3190CC42" w14:textId="77777777" w:rsidR="003A6903" w:rsidRDefault="003A6903" w:rsidP="00A93D7F">
      <w:r w:rsidRPr="005F752B">
        <w:t>Снижение уровня рождаемости обусловлено снижением числа женщин в возрасте 20-34 лет</w:t>
      </w:r>
      <w:r>
        <w:t xml:space="preserve">, что является общероссийским трендом, подкрепленным миграционной убылью выпускниц школ из Нефтеюганского района в другие регионы для учебы в колледжах и вузах. Коэффициент смертности достаточно стабилен несмотря на рост численности пенсионеров за рассматриваемый период. В соответствии с демографическим прогнозом, данная тенденция сохранится и в долгосрочном периоде, что соответствует общероссийским трендам старения населения. </w:t>
      </w:r>
    </w:p>
    <w:p w14:paraId="458D5EF9" w14:textId="77777777" w:rsidR="0010222B" w:rsidRDefault="0010222B" w:rsidP="00A93D7F"/>
    <w:p w14:paraId="1AF8DD57" w14:textId="0F3A2AEC" w:rsidR="003A6903" w:rsidRDefault="00E87C93" w:rsidP="00A93D7F">
      <w:r>
        <w:rPr>
          <w:noProof/>
        </w:rPr>
        <w:drawing>
          <wp:inline distT="0" distB="0" distL="0" distR="0" wp14:anchorId="24C4C650" wp14:editId="61A08A2D">
            <wp:extent cx="5261757" cy="2142490"/>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7A7E37" w14:textId="6292B314" w:rsidR="003A6903" w:rsidRDefault="003A6903" w:rsidP="00A93D7F">
      <w:pPr>
        <w:pStyle w:val="ac"/>
      </w:pPr>
      <w:r>
        <w:t xml:space="preserve">Рисунок </w:t>
      </w:r>
      <w:fldSimple w:instr=" SEQ Рисунок \* ARABIC ">
        <w:r w:rsidR="00ED1BAA">
          <w:rPr>
            <w:noProof/>
          </w:rPr>
          <w:t>2</w:t>
        </w:r>
      </w:fldSimple>
      <w:r>
        <w:t xml:space="preserve"> </w:t>
      </w:r>
      <w:r w:rsidRPr="00AB306E">
        <w:t>Динамика численности женщин в возрасте 20-34 лет и числа родившихся в 2012-2016 гг.</w:t>
      </w:r>
    </w:p>
    <w:p w14:paraId="67EE2EF9" w14:textId="77777777" w:rsidR="003A6903" w:rsidRPr="00A83CE4" w:rsidRDefault="003A6903" w:rsidP="00A93D7F"/>
    <w:p w14:paraId="5DB0F36D" w14:textId="31BFF1D1" w:rsidR="003A6903" w:rsidRDefault="003A6903" w:rsidP="00A93D7F">
      <w:r w:rsidRPr="00694037">
        <w:t xml:space="preserve">В </w:t>
      </w:r>
      <w:r>
        <w:t xml:space="preserve">2016 </w:t>
      </w:r>
      <w:r w:rsidR="00FE7670">
        <w:t>г.</w:t>
      </w:r>
      <w:r>
        <w:t xml:space="preserve"> в </w:t>
      </w:r>
      <w:r w:rsidRPr="00694037">
        <w:t xml:space="preserve">структуре населения доля лиц моложе трудоспособного возраста </w:t>
      </w:r>
      <w:r>
        <w:t>составила</w:t>
      </w:r>
      <w:r w:rsidRPr="00694037">
        <w:t xml:space="preserve"> 22,</w:t>
      </w:r>
      <w:r>
        <w:t>3</w:t>
      </w:r>
      <w:r w:rsidRPr="00694037">
        <w:t>%</w:t>
      </w:r>
      <w:r w:rsidR="00FE7670">
        <w:t xml:space="preserve"> (21,8% в 2011 г.)</w:t>
      </w:r>
      <w:r w:rsidRPr="00694037">
        <w:t>, доля трудоспособного населения</w:t>
      </w:r>
      <w:r>
        <w:t xml:space="preserve"> –</w:t>
      </w:r>
      <w:r w:rsidRPr="00694037">
        <w:t xml:space="preserve"> 6</w:t>
      </w:r>
      <w:r>
        <w:t>4,8%</w:t>
      </w:r>
      <w:r w:rsidR="00FE7670">
        <w:t xml:space="preserve"> (69,5% в 2011 г.)</w:t>
      </w:r>
      <w:r>
        <w:t>,</w:t>
      </w:r>
      <w:r w:rsidRPr="00694037">
        <w:t xml:space="preserve"> граждан старше трудоспособного возраста </w:t>
      </w:r>
      <w:r>
        <w:t xml:space="preserve">– </w:t>
      </w:r>
      <w:r w:rsidRPr="00694037">
        <w:t>1</w:t>
      </w:r>
      <w:r>
        <w:t>3</w:t>
      </w:r>
      <w:r w:rsidRPr="00694037">
        <w:t>,</w:t>
      </w:r>
      <w:r>
        <w:t>0</w:t>
      </w:r>
      <w:r w:rsidRPr="00694037">
        <w:t>%</w:t>
      </w:r>
      <w:r w:rsidR="00FE7670">
        <w:t xml:space="preserve"> (8,7% в 2011 г.)</w:t>
      </w:r>
      <w:r w:rsidRPr="00694037">
        <w:t>.</w:t>
      </w:r>
      <w:r>
        <w:t xml:space="preserve"> В структуре населения с каждым годом </w:t>
      </w:r>
      <w:r w:rsidRPr="009A1DFB">
        <w:t xml:space="preserve">увеличивается число лиц старше и </w:t>
      </w:r>
      <w:r>
        <w:t xml:space="preserve">моложе трудоспособного возраста, что также соответствует общероссийским трендам. Однако увеличение доли </w:t>
      </w:r>
      <w:r>
        <w:lastRenderedPageBreak/>
        <w:t xml:space="preserve">детей не является положительным трендом, связанным с увеличением рождаемости, а показывает преобладание числа родившихся в последние несколько лет над числом выбывающих из данной возрастной группы. Также наблюдается миграционная убыль лиц трудоспособного возраста (за исключением 2014 года), которая в основном поддерживается снижением числа лиц в возрасте 15-19 лет, уезжающих на обучение в соседние населенные пункты. </w:t>
      </w:r>
    </w:p>
    <w:p w14:paraId="4F2E5A5B" w14:textId="77777777" w:rsidR="00A308E1" w:rsidRDefault="00A308E1" w:rsidP="00A93D7F">
      <w:pPr>
        <w:pStyle w:val="ac"/>
      </w:pPr>
    </w:p>
    <w:p w14:paraId="687777A2" w14:textId="77777777" w:rsidR="003A6903" w:rsidRDefault="003A6903" w:rsidP="00A93D7F">
      <w:pPr>
        <w:pStyle w:val="ac"/>
      </w:pPr>
      <w:r>
        <w:t xml:space="preserve">Таблица </w:t>
      </w:r>
      <w:fldSimple w:instr=" SEQ Таблица \* ARABIC ">
        <w:r w:rsidR="00ED1BAA">
          <w:rPr>
            <w:noProof/>
          </w:rPr>
          <w:t>6</w:t>
        </w:r>
      </w:fldSimple>
      <w:r>
        <w:t xml:space="preserve"> </w:t>
      </w:r>
    </w:p>
    <w:p w14:paraId="4A35764A" w14:textId="77777777" w:rsidR="003A6903" w:rsidRPr="004E2137" w:rsidRDefault="003A6903" w:rsidP="00A93D7F">
      <w:pPr>
        <w:pStyle w:val="ac"/>
      </w:pPr>
      <w:r w:rsidRPr="004E2137">
        <w:t>Изменение половозрастной структуры населения Нефтеюганского района в 2011-2016 гг.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767"/>
        <w:gridCol w:w="1329"/>
        <w:gridCol w:w="978"/>
        <w:gridCol w:w="978"/>
        <w:gridCol w:w="978"/>
        <w:gridCol w:w="978"/>
        <w:gridCol w:w="978"/>
        <w:gridCol w:w="978"/>
      </w:tblGrid>
      <w:tr w:rsidR="003A6903" w:rsidRPr="00631CED" w14:paraId="6DB14DDE" w14:textId="77777777" w:rsidTr="00E213C4">
        <w:tc>
          <w:tcPr>
            <w:tcW w:w="3702" w:type="dxa"/>
            <w:gridSpan w:val="2"/>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007D911" w14:textId="77777777" w:rsidR="003A6903" w:rsidRPr="00631CED" w:rsidRDefault="003A6903" w:rsidP="00391462">
            <w:pPr>
              <w:pStyle w:val="af7"/>
              <w:rPr>
                <w:rFonts w:eastAsia="Times New Roman"/>
              </w:rPr>
            </w:pPr>
            <w:r w:rsidRPr="00631CED">
              <w:t>Половозрастная структура</w:t>
            </w:r>
          </w:p>
        </w:tc>
        <w:tc>
          <w:tcPr>
            <w:tcW w:w="978" w:type="dxa"/>
            <w:tcBorders>
              <w:top w:val="single" w:sz="8" w:space="0" w:color="000000"/>
              <w:left w:val="single" w:sz="8" w:space="0" w:color="000000"/>
              <w:bottom w:val="single" w:sz="8" w:space="0" w:color="000000"/>
              <w:right w:val="single" w:sz="8" w:space="0" w:color="000000"/>
            </w:tcBorders>
            <w:vAlign w:val="center"/>
          </w:tcPr>
          <w:p w14:paraId="481F0F08" w14:textId="77777777" w:rsidR="003A6903" w:rsidRPr="00631CED" w:rsidRDefault="003A6903" w:rsidP="00391462">
            <w:pPr>
              <w:pStyle w:val="af7"/>
              <w:jc w:val="center"/>
            </w:pPr>
            <w:r w:rsidRPr="00631CED">
              <w:t>2011</w:t>
            </w:r>
          </w:p>
        </w:tc>
        <w:tc>
          <w:tcPr>
            <w:tcW w:w="978" w:type="dxa"/>
            <w:tcBorders>
              <w:top w:val="single" w:sz="8" w:space="0" w:color="000000"/>
              <w:left w:val="single" w:sz="8" w:space="0" w:color="000000"/>
              <w:bottom w:val="single" w:sz="8" w:space="0" w:color="000000"/>
              <w:right w:val="single" w:sz="8" w:space="0" w:color="000000"/>
            </w:tcBorders>
            <w:vAlign w:val="center"/>
          </w:tcPr>
          <w:p w14:paraId="6A90860A" w14:textId="77777777" w:rsidR="003A6903" w:rsidRPr="00631CED" w:rsidRDefault="003A6903" w:rsidP="00391462">
            <w:pPr>
              <w:pStyle w:val="af7"/>
              <w:jc w:val="center"/>
            </w:pPr>
            <w:r w:rsidRPr="00631CED">
              <w:t>2012</w:t>
            </w:r>
          </w:p>
        </w:tc>
        <w:tc>
          <w:tcPr>
            <w:tcW w:w="978" w:type="dxa"/>
            <w:tcBorders>
              <w:top w:val="single" w:sz="8" w:space="0" w:color="000000"/>
              <w:left w:val="single" w:sz="8" w:space="0" w:color="000000"/>
              <w:bottom w:val="single" w:sz="8" w:space="0" w:color="000000"/>
              <w:right w:val="single" w:sz="8" w:space="0" w:color="000000"/>
            </w:tcBorders>
            <w:vAlign w:val="center"/>
          </w:tcPr>
          <w:p w14:paraId="457316D5" w14:textId="77777777" w:rsidR="003A6903" w:rsidRPr="00631CED" w:rsidRDefault="003A6903" w:rsidP="00391462">
            <w:pPr>
              <w:pStyle w:val="af7"/>
              <w:jc w:val="center"/>
            </w:pPr>
            <w:r w:rsidRPr="00631CED">
              <w:t>2013</w:t>
            </w:r>
          </w:p>
        </w:tc>
        <w:tc>
          <w:tcPr>
            <w:tcW w:w="978" w:type="dxa"/>
            <w:tcBorders>
              <w:top w:val="single" w:sz="8" w:space="0" w:color="000000"/>
              <w:left w:val="single" w:sz="8" w:space="0" w:color="000000"/>
              <w:bottom w:val="single" w:sz="8" w:space="0" w:color="000000"/>
              <w:right w:val="single" w:sz="8" w:space="0" w:color="000000"/>
            </w:tcBorders>
            <w:vAlign w:val="center"/>
          </w:tcPr>
          <w:p w14:paraId="6B3FC41D" w14:textId="77777777" w:rsidR="003A6903" w:rsidRPr="00631CED" w:rsidRDefault="003A6903" w:rsidP="00391462">
            <w:pPr>
              <w:pStyle w:val="af7"/>
              <w:jc w:val="center"/>
            </w:pPr>
            <w:r w:rsidRPr="00631CED">
              <w:t>2014</w:t>
            </w:r>
          </w:p>
        </w:tc>
        <w:tc>
          <w:tcPr>
            <w:tcW w:w="978" w:type="dxa"/>
            <w:tcBorders>
              <w:top w:val="single" w:sz="8" w:space="0" w:color="000000"/>
              <w:left w:val="single" w:sz="8" w:space="0" w:color="000000"/>
              <w:bottom w:val="single" w:sz="8" w:space="0" w:color="000000"/>
              <w:right w:val="single" w:sz="8" w:space="0" w:color="000000"/>
            </w:tcBorders>
            <w:vAlign w:val="center"/>
          </w:tcPr>
          <w:p w14:paraId="08538B78" w14:textId="77777777" w:rsidR="003A6903" w:rsidRPr="00631CED" w:rsidRDefault="003A6903" w:rsidP="00391462">
            <w:pPr>
              <w:pStyle w:val="af7"/>
              <w:jc w:val="center"/>
            </w:pPr>
            <w:r w:rsidRPr="00631CED">
              <w:t>2015</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81A22AF" w14:textId="77777777" w:rsidR="003A6903" w:rsidRPr="00631CED" w:rsidRDefault="003A6903" w:rsidP="00391462">
            <w:pPr>
              <w:pStyle w:val="af7"/>
              <w:jc w:val="center"/>
            </w:pPr>
            <w:r w:rsidRPr="00631CED">
              <w:t>2016</w:t>
            </w:r>
          </w:p>
        </w:tc>
      </w:tr>
      <w:tr w:rsidR="003A6903" w:rsidRPr="00631CED" w14:paraId="3B400460" w14:textId="77777777" w:rsidTr="00E213C4">
        <w:tc>
          <w:tcPr>
            <w:tcW w:w="0" w:type="auto"/>
            <w:vMerge w:val="restart"/>
            <w:tcBorders>
              <w:top w:val="single" w:sz="8" w:space="0" w:color="000000"/>
              <w:left w:val="single" w:sz="8" w:space="0" w:color="000000"/>
              <w:right w:val="single" w:sz="8" w:space="0" w:color="000000"/>
            </w:tcBorders>
            <w:tcMar>
              <w:top w:w="15" w:type="dxa"/>
              <w:left w:w="600" w:type="dxa"/>
              <w:bottom w:w="15" w:type="dxa"/>
              <w:right w:w="15" w:type="dxa"/>
            </w:tcMar>
            <w:vAlign w:val="center"/>
            <w:hideMark/>
          </w:tcPr>
          <w:p w14:paraId="460523A0" w14:textId="77777777" w:rsidR="003A6903" w:rsidRPr="00631CED" w:rsidRDefault="003A6903" w:rsidP="00391462">
            <w:pPr>
              <w:pStyle w:val="af7"/>
            </w:pPr>
            <w:r w:rsidRPr="00631CED">
              <w:t>моложе трудоспособного возраста</w:t>
            </w: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4E349335" w14:textId="77777777" w:rsidR="003A6903" w:rsidRPr="00631CED" w:rsidRDefault="003A6903" w:rsidP="00391462">
            <w:pPr>
              <w:pStyle w:val="af7"/>
            </w:pPr>
            <w:r w:rsidRPr="00631CED">
              <w:t>всего</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200292D" w14:textId="77777777" w:rsidR="003A6903" w:rsidRPr="00631CED" w:rsidRDefault="003A6903" w:rsidP="00391462">
            <w:pPr>
              <w:pStyle w:val="af7"/>
              <w:jc w:val="center"/>
            </w:pPr>
            <w:r w:rsidRPr="00631CED">
              <w:t>9755</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B3883C7" w14:textId="77777777" w:rsidR="003A6903" w:rsidRPr="00631CED" w:rsidRDefault="003A6903" w:rsidP="00391462">
            <w:pPr>
              <w:pStyle w:val="af7"/>
              <w:jc w:val="center"/>
            </w:pPr>
            <w:r w:rsidRPr="00631CED">
              <w:t>9692</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22460BA" w14:textId="77777777" w:rsidR="003A6903" w:rsidRPr="00631CED" w:rsidRDefault="003A6903" w:rsidP="00391462">
            <w:pPr>
              <w:pStyle w:val="af7"/>
              <w:jc w:val="center"/>
            </w:pPr>
            <w:r w:rsidRPr="00631CED">
              <w:t>9751</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89FAE16" w14:textId="77777777" w:rsidR="003A6903" w:rsidRPr="00631CED" w:rsidRDefault="003A6903" w:rsidP="00391462">
            <w:pPr>
              <w:pStyle w:val="af7"/>
              <w:jc w:val="center"/>
            </w:pPr>
            <w:r w:rsidRPr="00631CED">
              <w:t>9749</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20E67F33" w14:textId="77777777" w:rsidR="003A6903" w:rsidRPr="00631CED" w:rsidRDefault="003A6903" w:rsidP="00391462">
            <w:pPr>
              <w:pStyle w:val="af7"/>
              <w:jc w:val="center"/>
            </w:pPr>
            <w:r w:rsidRPr="00631CED">
              <w:t>9932</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45AA8F15" w14:textId="77777777" w:rsidR="003A6903" w:rsidRPr="00631CED" w:rsidRDefault="003A6903" w:rsidP="00391462">
            <w:pPr>
              <w:pStyle w:val="af7"/>
              <w:jc w:val="center"/>
            </w:pPr>
            <w:r w:rsidRPr="00631CED">
              <w:t>10023</w:t>
            </w:r>
          </w:p>
        </w:tc>
      </w:tr>
      <w:tr w:rsidR="003A6903" w:rsidRPr="00631CED" w14:paraId="45F145E6" w14:textId="77777777" w:rsidTr="00E213C4">
        <w:tc>
          <w:tcPr>
            <w:tcW w:w="0" w:type="auto"/>
            <w:vMerge/>
            <w:tcBorders>
              <w:left w:val="single" w:sz="8" w:space="0" w:color="000000"/>
              <w:right w:val="single" w:sz="8" w:space="0" w:color="000000"/>
            </w:tcBorders>
            <w:tcMar>
              <w:top w:w="15" w:type="dxa"/>
              <w:left w:w="600" w:type="dxa"/>
              <w:bottom w:w="15" w:type="dxa"/>
              <w:right w:w="15" w:type="dxa"/>
            </w:tcMar>
            <w:vAlign w:val="center"/>
          </w:tcPr>
          <w:p w14:paraId="21F4B85C" w14:textId="77777777" w:rsidR="003A6903" w:rsidRPr="00631CED" w:rsidRDefault="003A6903" w:rsidP="00391462">
            <w:pPr>
              <w:pStyle w:val="af7"/>
            </w:pP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445160F6" w14:textId="77777777" w:rsidR="003A6903" w:rsidRPr="00631CED" w:rsidRDefault="003A6903" w:rsidP="00391462">
            <w:pPr>
              <w:pStyle w:val="af7"/>
            </w:pPr>
            <w:r w:rsidRPr="00631CED">
              <w:t>Женщины</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1019869" w14:textId="77777777" w:rsidR="003A6903" w:rsidRPr="00631CED" w:rsidRDefault="003A6903" w:rsidP="00391462">
            <w:pPr>
              <w:pStyle w:val="af7"/>
              <w:jc w:val="center"/>
            </w:pPr>
            <w:r w:rsidRPr="00631CED">
              <w:t>4660</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35409BDC" w14:textId="77777777" w:rsidR="003A6903" w:rsidRPr="00631CED" w:rsidRDefault="003A6903" w:rsidP="00391462">
            <w:pPr>
              <w:pStyle w:val="af7"/>
              <w:jc w:val="center"/>
            </w:pPr>
            <w:r w:rsidRPr="00631CED">
              <w:t>4648</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AA804BE" w14:textId="77777777" w:rsidR="003A6903" w:rsidRPr="00631CED" w:rsidRDefault="003A6903" w:rsidP="00391462">
            <w:pPr>
              <w:pStyle w:val="af7"/>
              <w:jc w:val="center"/>
            </w:pPr>
            <w:r w:rsidRPr="00631CED">
              <w:t>4677</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ACAA661" w14:textId="77777777" w:rsidR="003A6903" w:rsidRPr="00631CED" w:rsidRDefault="003A6903" w:rsidP="00391462">
            <w:pPr>
              <w:pStyle w:val="af7"/>
              <w:jc w:val="center"/>
            </w:pPr>
            <w:r w:rsidRPr="00631CED">
              <w:t>4686</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B5DC604" w14:textId="77777777" w:rsidR="003A6903" w:rsidRPr="00631CED" w:rsidRDefault="003A6903" w:rsidP="00391462">
            <w:pPr>
              <w:pStyle w:val="af7"/>
              <w:jc w:val="center"/>
            </w:pPr>
            <w:r w:rsidRPr="00631CED">
              <w:t>4803</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78289E7" w14:textId="77777777" w:rsidR="003A6903" w:rsidRPr="00631CED" w:rsidRDefault="003A6903" w:rsidP="00391462">
            <w:pPr>
              <w:pStyle w:val="af7"/>
              <w:jc w:val="center"/>
            </w:pPr>
            <w:r w:rsidRPr="00631CED">
              <w:t>4871</w:t>
            </w:r>
          </w:p>
        </w:tc>
      </w:tr>
      <w:tr w:rsidR="003A6903" w:rsidRPr="00631CED" w14:paraId="0791A168" w14:textId="77777777" w:rsidTr="00E213C4">
        <w:tc>
          <w:tcPr>
            <w:tcW w:w="0" w:type="auto"/>
            <w:vMerge/>
            <w:tcBorders>
              <w:left w:val="single" w:sz="8" w:space="0" w:color="000000"/>
              <w:bottom w:val="single" w:sz="8" w:space="0" w:color="000000"/>
              <w:right w:val="single" w:sz="8" w:space="0" w:color="000000"/>
            </w:tcBorders>
            <w:tcMar>
              <w:top w:w="15" w:type="dxa"/>
              <w:left w:w="600" w:type="dxa"/>
              <w:bottom w:w="15" w:type="dxa"/>
              <w:right w:w="15" w:type="dxa"/>
            </w:tcMar>
            <w:vAlign w:val="center"/>
          </w:tcPr>
          <w:p w14:paraId="5413605F" w14:textId="77777777" w:rsidR="003A6903" w:rsidRPr="00631CED" w:rsidRDefault="003A6903" w:rsidP="00391462">
            <w:pPr>
              <w:pStyle w:val="af7"/>
            </w:pP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0664F1DC" w14:textId="77777777" w:rsidR="003A6903" w:rsidRPr="00631CED" w:rsidRDefault="003A6903" w:rsidP="00391462">
            <w:pPr>
              <w:pStyle w:val="af7"/>
            </w:pPr>
            <w:r w:rsidRPr="00631CED">
              <w:t>Мужчины</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99F3420" w14:textId="77777777" w:rsidR="003A6903" w:rsidRPr="00631CED" w:rsidRDefault="003A6903" w:rsidP="00391462">
            <w:pPr>
              <w:pStyle w:val="af7"/>
              <w:jc w:val="center"/>
            </w:pPr>
            <w:r w:rsidRPr="00631CED">
              <w:t>5095</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1B9F9A1A" w14:textId="77777777" w:rsidR="003A6903" w:rsidRPr="00631CED" w:rsidRDefault="003A6903" w:rsidP="00391462">
            <w:pPr>
              <w:pStyle w:val="af7"/>
              <w:jc w:val="center"/>
            </w:pPr>
            <w:r w:rsidRPr="00631CED">
              <w:t>5044</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4E78F31" w14:textId="77777777" w:rsidR="003A6903" w:rsidRPr="00631CED" w:rsidRDefault="003A6903" w:rsidP="00391462">
            <w:pPr>
              <w:pStyle w:val="af7"/>
              <w:jc w:val="center"/>
            </w:pPr>
            <w:r w:rsidRPr="00631CED">
              <w:t>5074</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26D2A09" w14:textId="77777777" w:rsidR="003A6903" w:rsidRPr="00631CED" w:rsidRDefault="003A6903" w:rsidP="00391462">
            <w:pPr>
              <w:pStyle w:val="af7"/>
              <w:jc w:val="center"/>
            </w:pPr>
            <w:r w:rsidRPr="00631CED">
              <w:t>5063</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40F26FF0" w14:textId="77777777" w:rsidR="003A6903" w:rsidRPr="00631CED" w:rsidRDefault="003A6903" w:rsidP="00391462">
            <w:pPr>
              <w:pStyle w:val="af7"/>
              <w:jc w:val="center"/>
            </w:pPr>
            <w:r w:rsidRPr="00631CED">
              <w:t>5129</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2FBD2DC5" w14:textId="77777777" w:rsidR="003A6903" w:rsidRPr="00631CED" w:rsidRDefault="003A6903" w:rsidP="00391462">
            <w:pPr>
              <w:pStyle w:val="af7"/>
              <w:jc w:val="center"/>
            </w:pPr>
            <w:r w:rsidRPr="00631CED">
              <w:t>5152</w:t>
            </w:r>
          </w:p>
        </w:tc>
      </w:tr>
      <w:tr w:rsidR="003A6903" w:rsidRPr="00631CED" w14:paraId="411ABA05" w14:textId="77777777" w:rsidTr="00E213C4">
        <w:tc>
          <w:tcPr>
            <w:tcW w:w="0" w:type="auto"/>
            <w:vMerge w:val="restart"/>
            <w:tcBorders>
              <w:top w:val="single" w:sz="8" w:space="0" w:color="000000"/>
              <w:left w:val="single" w:sz="8" w:space="0" w:color="000000"/>
              <w:right w:val="single" w:sz="8" w:space="0" w:color="000000"/>
            </w:tcBorders>
            <w:tcMar>
              <w:top w:w="15" w:type="dxa"/>
              <w:left w:w="600" w:type="dxa"/>
              <w:bottom w:w="15" w:type="dxa"/>
              <w:right w:w="15" w:type="dxa"/>
            </w:tcMar>
            <w:vAlign w:val="center"/>
          </w:tcPr>
          <w:p w14:paraId="78E9C727" w14:textId="77777777" w:rsidR="003A6903" w:rsidRPr="00631CED" w:rsidRDefault="003A6903" w:rsidP="00391462">
            <w:pPr>
              <w:pStyle w:val="af7"/>
            </w:pPr>
            <w:r w:rsidRPr="00631CED">
              <w:t>трудоспособный возраст</w:t>
            </w: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3B8A2219" w14:textId="77777777" w:rsidR="003A6903" w:rsidRPr="00631CED" w:rsidRDefault="003A6903" w:rsidP="00391462">
            <w:pPr>
              <w:pStyle w:val="af7"/>
            </w:pPr>
            <w:r w:rsidRPr="00631CED">
              <w:t>Всего</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3D4AE788" w14:textId="77777777" w:rsidR="003A6903" w:rsidRPr="00631CED" w:rsidRDefault="003A6903" w:rsidP="00391462">
            <w:pPr>
              <w:pStyle w:val="af7"/>
              <w:jc w:val="center"/>
            </w:pPr>
            <w:r w:rsidRPr="00631CED">
              <w:t>31120</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DA12D0F" w14:textId="77777777" w:rsidR="003A6903" w:rsidRPr="00631CED" w:rsidRDefault="003A6903" w:rsidP="00391462">
            <w:pPr>
              <w:pStyle w:val="af7"/>
              <w:jc w:val="center"/>
            </w:pPr>
            <w:r w:rsidRPr="00631CED">
              <w:t>30572</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2B4AA4CB" w14:textId="77777777" w:rsidR="003A6903" w:rsidRPr="00631CED" w:rsidRDefault="003A6903" w:rsidP="00391462">
            <w:pPr>
              <w:pStyle w:val="af7"/>
              <w:jc w:val="center"/>
            </w:pPr>
            <w:r w:rsidRPr="00631CED">
              <w:t>30062</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9A0BB76" w14:textId="77777777" w:rsidR="003A6903" w:rsidRPr="00631CED" w:rsidRDefault="003A6903" w:rsidP="00391462">
            <w:pPr>
              <w:pStyle w:val="af7"/>
              <w:jc w:val="center"/>
            </w:pPr>
            <w:r w:rsidRPr="00631CED">
              <w:t>29437</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6449527" w14:textId="77777777" w:rsidR="003A6903" w:rsidRPr="00631CED" w:rsidRDefault="003A6903" w:rsidP="00391462">
            <w:pPr>
              <w:pStyle w:val="af7"/>
              <w:jc w:val="center"/>
            </w:pPr>
            <w:r w:rsidRPr="00631CED">
              <w:t>29440</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201AD99A" w14:textId="77777777" w:rsidR="003A6903" w:rsidRPr="00631CED" w:rsidRDefault="003A6903" w:rsidP="00391462">
            <w:pPr>
              <w:pStyle w:val="af7"/>
              <w:jc w:val="center"/>
            </w:pPr>
            <w:r w:rsidRPr="00631CED">
              <w:t>29147</w:t>
            </w:r>
          </w:p>
        </w:tc>
      </w:tr>
      <w:tr w:rsidR="003A6903" w:rsidRPr="00631CED" w14:paraId="3C0703F0" w14:textId="77777777" w:rsidTr="00E213C4">
        <w:tc>
          <w:tcPr>
            <w:tcW w:w="0" w:type="auto"/>
            <w:vMerge/>
            <w:tcBorders>
              <w:left w:val="single" w:sz="8" w:space="0" w:color="000000"/>
              <w:right w:val="single" w:sz="8" w:space="0" w:color="000000"/>
            </w:tcBorders>
            <w:tcMar>
              <w:top w:w="15" w:type="dxa"/>
              <w:left w:w="600" w:type="dxa"/>
              <w:bottom w:w="15" w:type="dxa"/>
              <w:right w:w="15" w:type="dxa"/>
            </w:tcMar>
            <w:vAlign w:val="center"/>
          </w:tcPr>
          <w:p w14:paraId="395F19D3" w14:textId="77777777" w:rsidR="003A6903" w:rsidRPr="00631CED" w:rsidRDefault="003A6903" w:rsidP="00391462">
            <w:pPr>
              <w:pStyle w:val="af7"/>
            </w:pP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106E7C7C" w14:textId="77777777" w:rsidR="003A6903" w:rsidRPr="00631CED" w:rsidRDefault="003A6903" w:rsidP="00391462">
            <w:pPr>
              <w:pStyle w:val="af7"/>
            </w:pPr>
            <w:r w:rsidRPr="00631CED">
              <w:t>Женщины</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9AA69CD" w14:textId="77777777" w:rsidR="003A6903" w:rsidRPr="00631CED" w:rsidRDefault="003A6903" w:rsidP="00391462">
            <w:pPr>
              <w:pStyle w:val="af7"/>
              <w:jc w:val="center"/>
            </w:pPr>
            <w:r w:rsidRPr="00631CED">
              <w:t>13888</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19A9C5A0" w14:textId="77777777" w:rsidR="003A6903" w:rsidRPr="00631CED" w:rsidRDefault="003A6903" w:rsidP="00391462">
            <w:pPr>
              <w:pStyle w:val="af7"/>
              <w:jc w:val="center"/>
            </w:pPr>
            <w:r w:rsidRPr="00631CED">
              <w:t>13583</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210F512F" w14:textId="77777777" w:rsidR="003A6903" w:rsidRPr="00631CED" w:rsidRDefault="003A6903" w:rsidP="00391462">
            <w:pPr>
              <w:pStyle w:val="af7"/>
              <w:jc w:val="center"/>
            </w:pPr>
            <w:r w:rsidRPr="00631CED">
              <w:t>13345</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3AA4B8B" w14:textId="77777777" w:rsidR="003A6903" w:rsidRPr="00631CED" w:rsidRDefault="003A6903" w:rsidP="00391462">
            <w:pPr>
              <w:pStyle w:val="af7"/>
              <w:jc w:val="center"/>
            </w:pPr>
            <w:r w:rsidRPr="00631CED">
              <w:t>13002</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1720FAAD" w14:textId="77777777" w:rsidR="003A6903" w:rsidRPr="00631CED" w:rsidRDefault="003A6903" w:rsidP="00391462">
            <w:pPr>
              <w:pStyle w:val="af7"/>
              <w:jc w:val="center"/>
            </w:pPr>
            <w:r w:rsidRPr="00631CED">
              <w:t>12910</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73D76E4" w14:textId="77777777" w:rsidR="003A6903" w:rsidRPr="00631CED" w:rsidRDefault="003A6903" w:rsidP="00391462">
            <w:pPr>
              <w:pStyle w:val="af7"/>
              <w:jc w:val="center"/>
            </w:pPr>
            <w:r w:rsidRPr="00631CED">
              <w:t>12652</w:t>
            </w:r>
          </w:p>
        </w:tc>
      </w:tr>
      <w:tr w:rsidR="003A6903" w:rsidRPr="00631CED" w14:paraId="6D81C130" w14:textId="77777777" w:rsidTr="00E213C4">
        <w:tc>
          <w:tcPr>
            <w:tcW w:w="0" w:type="auto"/>
            <w:vMerge/>
            <w:tcBorders>
              <w:left w:val="single" w:sz="8" w:space="0" w:color="000000"/>
              <w:bottom w:val="single" w:sz="8" w:space="0" w:color="000000"/>
              <w:right w:val="single" w:sz="8" w:space="0" w:color="000000"/>
            </w:tcBorders>
            <w:tcMar>
              <w:top w:w="15" w:type="dxa"/>
              <w:left w:w="600" w:type="dxa"/>
              <w:bottom w:w="15" w:type="dxa"/>
              <w:right w:w="15" w:type="dxa"/>
            </w:tcMar>
            <w:vAlign w:val="center"/>
          </w:tcPr>
          <w:p w14:paraId="742ED25F" w14:textId="77777777" w:rsidR="003A6903" w:rsidRPr="00631CED" w:rsidRDefault="003A6903" w:rsidP="00391462">
            <w:pPr>
              <w:pStyle w:val="af7"/>
            </w:pP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43496B97" w14:textId="77777777" w:rsidR="003A6903" w:rsidRPr="00631CED" w:rsidRDefault="003A6903" w:rsidP="00391462">
            <w:pPr>
              <w:pStyle w:val="af7"/>
            </w:pPr>
            <w:r w:rsidRPr="00631CED">
              <w:t>Мужчины</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2B15B0A" w14:textId="77777777" w:rsidR="003A6903" w:rsidRPr="00631CED" w:rsidRDefault="003A6903" w:rsidP="00391462">
            <w:pPr>
              <w:pStyle w:val="af7"/>
              <w:jc w:val="center"/>
            </w:pPr>
            <w:r w:rsidRPr="00631CED">
              <w:t>17232</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18FE9103" w14:textId="77777777" w:rsidR="003A6903" w:rsidRPr="00631CED" w:rsidRDefault="003A6903" w:rsidP="00391462">
            <w:pPr>
              <w:pStyle w:val="af7"/>
              <w:jc w:val="center"/>
            </w:pPr>
            <w:r w:rsidRPr="00631CED">
              <w:t>16989</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90DD5A9" w14:textId="77777777" w:rsidR="003A6903" w:rsidRPr="00631CED" w:rsidRDefault="003A6903" w:rsidP="00391462">
            <w:pPr>
              <w:pStyle w:val="af7"/>
              <w:jc w:val="center"/>
            </w:pPr>
            <w:r w:rsidRPr="00631CED">
              <w:t>16717</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22CAAFBB" w14:textId="77777777" w:rsidR="003A6903" w:rsidRPr="00631CED" w:rsidRDefault="003A6903" w:rsidP="00391462">
            <w:pPr>
              <w:pStyle w:val="af7"/>
              <w:jc w:val="center"/>
            </w:pPr>
            <w:r w:rsidRPr="00631CED">
              <w:t>16435</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4C44BCF" w14:textId="77777777" w:rsidR="003A6903" w:rsidRPr="00631CED" w:rsidRDefault="003A6903" w:rsidP="00391462">
            <w:pPr>
              <w:pStyle w:val="af7"/>
              <w:jc w:val="center"/>
            </w:pPr>
            <w:r w:rsidRPr="00631CED">
              <w:t>16530</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99D2ADB" w14:textId="77777777" w:rsidR="003A6903" w:rsidRPr="00631CED" w:rsidRDefault="003A6903" w:rsidP="00391462">
            <w:pPr>
              <w:pStyle w:val="af7"/>
              <w:jc w:val="center"/>
            </w:pPr>
            <w:r w:rsidRPr="00631CED">
              <w:t>16495</w:t>
            </w:r>
          </w:p>
        </w:tc>
      </w:tr>
      <w:tr w:rsidR="003A6903" w:rsidRPr="00631CED" w14:paraId="1CD48F11" w14:textId="77777777" w:rsidTr="00E213C4">
        <w:tc>
          <w:tcPr>
            <w:tcW w:w="0" w:type="auto"/>
            <w:vMerge w:val="restart"/>
            <w:tcBorders>
              <w:top w:val="single" w:sz="8" w:space="0" w:color="000000"/>
              <w:left w:val="single" w:sz="8" w:space="0" w:color="000000"/>
              <w:right w:val="single" w:sz="8" w:space="0" w:color="000000"/>
            </w:tcBorders>
            <w:tcMar>
              <w:top w:w="15" w:type="dxa"/>
              <w:left w:w="600" w:type="dxa"/>
              <w:bottom w:w="15" w:type="dxa"/>
              <w:right w:w="15" w:type="dxa"/>
            </w:tcMar>
            <w:vAlign w:val="center"/>
          </w:tcPr>
          <w:p w14:paraId="25DD4008" w14:textId="77777777" w:rsidR="003A6903" w:rsidRPr="00631CED" w:rsidRDefault="003A6903" w:rsidP="00391462">
            <w:pPr>
              <w:pStyle w:val="af7"/>
            </w:pPr>
            <w:r w:rsidRPr="00631CED">
              <w:t>старше трудоспособного возраста</w:t>
            </w: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33EE3478" w14:textId="77777777" w:rsidR="003A6903" w:rsidRPr="00631CED" w:rsidRDefault="003A6903" w:rsidP="00391462">
            <w:pPr>
              <w:pStyle w:val="af7"/>
            </w:pPr>
            <w:r w:rsidRPr="00631CED">
              <w:t>Всего</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45FB6F6" w14:textId="77777777" w:rsidR="003A6903" w:rsidRPr="00631CED" w:rsidRDefault="003A6903" w:rsidP="00391462">
            <w:pPr>
              <w:pStyle w:val="af7"/>
              <w:jc w:val="center"/>
            </w:pPr>
            <w:r w:rsidRPr="00631CED">
              <w:t>3871</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6FACD43" w14:textId="77777777" w:rsidR="003A6903" w:rsidRPr="00631CED" w:rsidRDefault="003A6903" w:rsidP="00391462">
            <w:pPr>
              <w:pStyle w:val="af7"/>
              <w:jc w:val="center"/>
            </w:pPr>
            <w:r w:rsidRPr="00631CED">
              <w:t>4143</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EA171A3" w14:textId="77777777" w:rsidR="003A6903" w:rsidRPr="00631CED" w:rsidRDefault="003A6903" w:rsidP="00391462">
            <w:pPr>
              <w:pStyle w:val="af7"/>
              <w:jc w:val="center"/>
            </w:pPr>
            <w:r w:rsidRPr="00631CED">
              <w:t>4546</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2913C13" w14:textId="77777777" w:rsidR="003A6903" w:rsidRPr="00631CED" w:rsidRDefault="003A6903" w:rsidP="00391462">
            <w:pPr>
              <w:pStyle w:val="af7"/>
              <w:jc w:val="center"/>
            </w:pPr>
            <w:r w:rsidRPr="00631CED">
              <w:t>4908</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8BA9824" w14:textId="77777777" w:rsidR="003A6903" w:rsidRPr="00631CED" w:rsidRDefault="003A6903" w:rsidP="00391462">
            <w:pPr>
              <w:pStyle w:val="af7"/>
              <w:jc w:val="center"/>
            </w:pPr>
            <w:r w:rsidRPr="00631CED">
              <w:t>5337</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296B84DB" w14:textId="77777777" w:rsidR="003A6903" w:rsidRPr="00631CED" w:rsidRDefault="003A6903" w:rsidP="00391462">
            <w:pPr>
              <w:pStyle w:val="af7"/>
              <w:jc w:val="center"/>
            </w:pPr>
            <w:r w:rsidRPr="00631CED">
              <w:t>5840</w:t>
            </w:r>
          </w:p>
        </w:tc>
      </w:tr>
      <w:tr w:rsidR="003A6903" w:rsidRPr="00631CED" w14:paraId="24171FBB" w14:textId="77777777" w:rsidTr="00E213C4">
        <w:tc>
          <w:tcPr>
            <w:tcW w:w="0" w:type="auto"/>
            <w:vMerge/>
            <w:tcBorders>
              <w:left w:val="single" w:sz="8" w:space="0" w:color="000000"/>
              <w:right w:val="single" w:sz="8" w:space="0" w:color="000000"/>
            </w:tcBorders>
            <w:tcMar>
              <w:top w:w="15" w:type="dxa"/>
              <w:left w:w="600" w:type="dxa"/>
              <w:bottom w:w="15" w:type="dxa"/>
              <w:right w:w="15" w:type="dxa"/>
            </w:tcMar>
            <w:vAlign w:val="center"/>
          </w:tcPr>
          <w:p w14:paraId="218139EC" w14:textId="77777777" w:rsidR="003A6903" w:rsidRPr="00631CED" w:rsidRDefault="003A6903" w:rsidP="00391462">
            <w:pPr>
              <w:pStyle w:val="af7"/>
            </w:pP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7597D5CB" w14:textId="77777777" w:rsidR="003A6903" w:rsidRPr="00631CED" w:rsidRDefault="003A6903" w:rsidP="00391462">
            <w:pPr>
              <w:pStyle w:val="af7"/>
            </w:pPr>
            <w:r w:rsidRPr="00631CED">
              <w:t>Женщины</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CF1BC63" w14:textId="77777777" w:rsidR="003A6903" w:rsidRPr="00631CED" w:rsidRDefault="003A6903" w:rsidP="00391462">
            <w:pPr>
              <w:pStyle w:val="af7"/>
              <w:jc w:val="center"/>
            </w:pPr>
            <w:r w:rsidRPr="00631CED">
              <w:t>2851</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40D514AE" w14:textId="77777777" w:rsidR="003A6903" w:rsidRPr="00631CED" w:rsidRDefault="003A6903" w:rsidP="00391462">
            <w:pPr>
              <w:pStyle w:val="af7"/>
              <w:jc w:val="center"/>
            </w:pPr>
            <w:r w:rsidRPr="00631CED">
              <w:t>3021</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49873492" w14:textId="77777777" w:rsidR="003A6903" w:rsidRPr="00631CED" w:rsidRDefault="003A6903" w:rsidP="00391462">
            <w:pPr>
              <w:pStyle w:val="af7"/>
              <w:jc w:val="center"/>
            </w:pPr>
            <w:r w:rsidRPr="00631CED">
              <w:t>3261</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62F8AB50" w14:textId="77777777" w:rsidR="003A6903" w:rsidRPr="00631CED" w:rsidRDefault="003A6903" w:rsidP="00391462">
            <w:pPr>
              <w:pStyle w:val="af7"/>
              <w:jc w:val="center"/>
            </w:pPr>
            <w:r w:rsidRPr="00631CED">
              <w:t>3478</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8D119F0" w14:textId="77777777" w:rsidR="003A6903" w:rsidRPr="00631CED" w:rsidRDefault="003A6903" w:rsidP="00391462">
            <w:pPr>
              <w:pStyle w:val="af7"/>
              <w:jc w:val="center"/>
            </w:pPr>
            <w:r w:rsidRPr="00631CED">
              <w:t>3753</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8DD1263" w14:textId="77777777" w:rsidR="003A6903" w:rsidRPr="00631CED" w:rsidRDefault="003A6903" w:rsidP="00391462">
            <w:pPr>
              <w:pStyle w:val="af7"/>
              <w:jc w:val="center"/>
            </w:pPr>
            <w:r w:rsidRPr="00631CED">
              <w:t>4091</w:t>
            </w:r>
          </w:p>
        </w:tc>
      </w:tr>
      <w:tr w:rsidR="003A6903" w:rsidRPr="00631CED" w14:paraId="09665025" w14:textId="77777777" w:rsidTr="00E213C4">
        <w:tc>
          <w:tcPr>
            <w:tcW w:w="0" w:type="auto"/>
            <w:vMerge/>
            <w:tcBorders>
              <w:left w:val="single" w:sz="8" w:space="0" w:color="000000"/>
              <w:bottom w:val="single" w:sz="8" w:space="0" w:color="000000"/>
              <w:right w:val="single" w:sz="8" w:space="0" w:color="000000"/>
            </w:tcBorders>
            <w:tcMar>
              <w:top w:w="15" w:type="dxa"/>
              <w:left w:w="600" w:type="dxa"/>
              <w:bottom w:w="15" w:type="dxa"/>
              <w:right w:w="15" w:type="dxa"/>
            </w:tcMar>
            <w:vAlign w:val="center"/>
          </w:tcPr>
          <w:p w14:paraId="26291284" w14:textId="77777777" w:rsidR="003A6903" w:rsidRPr="00631CED" w:rsidRDefault="003A6903" w:rsidP="00391462">
            <w:pPr>
              <w:pStyle w:val="af7"/>
            </w:pPr>
          </w:p>
        </w:tc>
        <w:tc>
          <w:tcPr>
            <w:tcW w:w="1329" w:type="dxa"/>
            <w:tcBorders>
              <w:top w:val="single" w:sz="8" w:space="0" w:color="000000"/>
              <w:left w:val="single" w:sz="8" w:space="0" w:color="000000"/>
              <w:bottom w:val="single" w:sz="8" w:space="0" w:color="000000"/>
              <w:right w:val="single" w:sz="8" w:space="0" w:color="000000"/>
            </w:tcBorders>
            <w:vAlign w:val="center"/>
            <w:hideMark/>
          </w:tcPr>
          <w:p w14:paraId="10B813AB" w14:textId="77777777" w:rsidR="003A6903" w:rsidRPr="00631CED" w:rsidRDefault="003A6903" w:rsidP="00391462">
            <w:pPr>
              <w:pStyle w:val="af7"/>
            </w:pPr>
            <w:r w:rsidRPr="00631CED">
              <w:t>Мужчины</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0D74611" w14:textId="77777777" w:rsidR="003A6903" w:rsidRPr="00631CED" w:rsidRDefault="003A6903" w:rsidP="00391462">
            <w:pPr>
              <w:pStyle w:val="af7"/>
              <w:jc w:val="center"/>
            </w:pPr>
            <w:r w:rsidRPr="00631CED">
              <w:t>1020</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DA79D77" w14:textId="77777777" w:rsidR="003A6903" w:rsidRPr="00631CED" w:rsidRDefault="003A6903" w:rsidP="00391462">
            <w:pPr>
              <w:pStyle w:val="af7"/>
              <w:jc w:val="center"/>
            </w:pPr>
            <w:r w:rsidRPr="00631CED">
              <w:t>1122</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250CD48" w14:textId="77777777" w:rsidR="003A6903" w:rsidRPr="00631CED" w:rsidRDefault="003A6903" w:rsidP="00391462">
            <w:pPr>
              <w:pStyle w:val="af7"/>
              <w:jc w:val="center"/>
            </w:pPr>
            <w:r w:rsidRPr="00631CED">
              <w:t>1285</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70DFE313" w14:textId="77777777" w:rsidR="003A6903" w:rsidRPr="00631CED" w:rsidRDefault="003A6903" w:rsidP="00391462">
            <w:pPr>
              <w:pStyle w:val="af7"/>
              <w:jc w:val="center"/>
            </w:pPr>
            <w:r w:rsidRPr="00631CED">
              <w:t>1430</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58173847" w14:textId="77777777" w:rsidR="003A6903" w:rsidRPr="00631CED" w:rsidRDefault="003A6903" w:rsidP="00391462">
            <w:pPr>
              <w:pStyle w:val="af7"/>
              <w:jc w:val="center"/>
            </w:pPr>
            <w:r w:rsidRPr="00631CED">
              <w:t>1584</w:t>
            </w:r>
          </w:p>
        </w:tc>
        <w:tc>
          <w:tcPr>
            <w:tcW w:w="978" w:type="dxa"/>
            <w:tcBorders>
              <w:top w:val="single" w:sz="8" w:space="0" w:color="000000"/>
              <w:left w:val="single" w:sz="8" w:space="0" w:color="000000"/>
              <w:bottom w:val="single" w:sz="8" w:space="0" w:color="000000"/>
              <w:right w:val="single" w:sz="8" w:space="0" w:color="000000"/>
            </w:tcBorders>
            <w:vAlign w:val="center"/>
            <w:hideMark/>
          </w:tcPr>
          <w:p w14:paraId="0DD6ED9D" w14:textId="77777777" w:rsidR="003A6903" w:rsidRPr="00631CED" w:rsidRDefault="003A6903" w:rsidP="00391462">
            <w:pPr>
              <w:pStyle w:val="af7"/>
              <w:jc w:val="center"/>
            </w:pPr>
            <w:r w:rsidRPr="00631CED">
              <w:t>1749</w:t>
            </w:r>
          </w:p>
        </w:tc>
      </w:tr>
    </w:tbl>
    <w:p w14:paraId="351D4015" w14:textId="77777777" w:rsidR="003A6903" w:rsidRPr="00406A99" w:rsidRDefault="003A6903" w:rsidP="00A93D7F">
      <w:r w:rsidRPr="00406A99">
        <w:t>Источник: Росстат</w:t>
      </w:r>
    </w:p>
    <w:p w14:paraId="3E3038A6" w14:textId="77777777" w:rsidR="003A6903" w:rsidRDefault="003A6903" w:rsidP="00A93D7F"/>
    <w:p w14:paraId="5AFA1C08" w14:textId="77777777" w:rsidR="003A6903" w:rsidRPr="00391462" w:rsidRDefault="003A6903" w:rsidP="00391462">
      <w:pPr>
        <w:jc w:val="center"/>
        <w:rPr>
          <w:b/>
        </w:rPr>
      </w:pPr>
      <w:r w:rsidRPr="00391462">
        <w:rPr>
          <w:b/>
        </w:rPr>
        <w:t>Рынок труда и уровень жизни</w:t>
      </w:r>
    </w:p>
    <w:p w14:paraId="535729D5" w14:textId="77777777" w:rsidR="000075EA" w:rsidRPr="000075EA" w:rsidRDefault="000075EA" w:rsidP="00A93D7F"/>
    <w:p w14:paraId="4812560B" w14:textId="77777777" w:rsidR="003A6903" w:rsidRPr="00B76CA5" w:rsidRDefault="003A6903" w:rsidP="00A93D7F">
      <w:r w:rsidRPr="00FD1EC3">
        <w:t>На протяжении отчетного года район стабильно входил в число муниципальных образований автономного округа с наименьшим уровнем регистрируемой безработицы (по Ханты-Мансийскому автономному округу – Югре на конец 2016 года уровень регистрир</w:t>
      </w:r>
      <w:r>
        <w:t>уемой безработицы составил 0,57</w:t>
      </w:r>
      <w:r w:rsidRPr="00FD1EC3">
        <w:t>%</w:t>
      </w:r>
      <w:r>
        <w:t xml:space="preserve"> (</w:t>
      </w:r>
      <w:r w:rsidRPr="005240BA">
        <w:t>при целевом значении 0,16%</w:t>
      </w:r>
      <w:r>
        <w:t>)</w:t>
      </w:r>
      <w:r w:rsidRPr="00FD1EC3">
        <w:t>, в У</w:t>
      </w:r>
      <w:r>
        <w:t>ральском федеральном округе 1,3</w:t>
      </w:r>
      <w:r w:rsidRPr="00FD1EC3">
        <w:t xml:space="preserve">%, в среднем по Российской Федерации </w:t>
      </w:r>
      <w:r>
        <w:t xml:space="preserve">– </w:t>
      </w:r>
      <w:r w:rsidRPr="00FD1EC3">
        <w:t xml:space="preserve">1,2 %). Динамика уровня регистрируемой безработицы на конец отчетного периода имеет положительную тенденцию снижения. </w:t>
      </w:r>
      <w:r>
        <w:t xml:space="preserve"> По данным н</w:t>
      </w:r>
      <w:r w:rsidRPr="00B76CA5">
        <w:t>а 01.01.2017</w:t>
      </w:r>
      <w:r>
        <w:t xml:space="preserve"> г.</w:t>
      </w:r>
      <w:r w:rsidRPr="00B76CA5">
        <w:t xml:space="preserve"> численность официально зарегистрированных безрабо</w:t>
      </w:r>
      <w:r>
        <w:t>тных составила 21 человек (80,8</w:t>
      </w:r>
      <w:r w:rsidRPr="00B76CA5">
        <w:t xml:space="preserve">% к аналогичному периоду 2016 </w:t>
      </w:r>
      <w:r>
        <w:t>г.</w:t>
      </w:r>
      <w:r w:rsidRPr="00B76CA5">
        <w:t xml:space="preserve">). </w:t>
      </w:r>
      <w:r>
        <w:t>В 2016 г. уровень безработицы составил 0,07%, за рассматриваемый период произошло сокращение показателя на 0,16 п.п</w:t>
      </w:r>
      <w:r w:rsidRPr="00B76CA5">
        <w:t xml:space="preserve">. </w:t>
      </w:r>
    </w:p>
    <w:p w14:paraId="027BB67F" w14:textId="77777777" w:rsidR="003A6903" w:rsidRDefault="003A6903" w:rsidP="00A93D7F">
      <w:r w:rsidRPr="00B76CA5">
        <w:t xml:space="preserve">На протяжении 2016 </w:t>
      </w:r>
      <w:r>
        <w:t>г.</w:t>
      </w:r>
      <w:r w:rsidRPr="00B76CA5">
        <w:t xml:space="preserve"> количество вакансий значительно превышало численность зарегистрированных безработных (количество вакансий </w:t>
      </w:r>
      <w:r>
        <w:t xml:space="preserve">– </w:t>
      </w:r>
      <w:r w:rsidRPr="00B76CA5">
        <w:t xml:space="preserve">449 </w:t>
      </w:r>
      <w:r>
        <w:t>ед.</w:t>
      </w:r>
      <w:r w:rsidRPr="00B76CA5">
        <w:t xml:space="preserve">, в 2 раза выше уровня </w:t>
      </w:r>
      <w:r>
        <w:t>2015</w:t>
      </w:r>
      <w:r w:rsidRPr="00B76CA5">
        <w:t xml:space="preserve"> </w:t>
      </w:r>
      <w:r>
        <w:t>г.</w:t>
      </w:r>
      <w:r w:rsidRPr="00B76CA5">
        <w:t>).</w:t>
      </w:r>
    </w:p>
    <w:p w14:paraId="7DAE5716" w14:textId="13B90FDE" w:rsidR="003903BD" w:rsidRDefault="00D8159C" w:rsidP="00A93D7F">
      <w:r>
        <w:t xml:space="preserve">По итогам 2016 г. </w:t>
      </w:r>
      <w:r w:rsidRPr="009B00E7">
        <w:t xml:space="preserve">среднегодовая </w:t>
      </w:r>
      <w:r>
        <w:t>ч</w:t>
      </w:r>
      <w:r w:rsidRPr="009B00E7">
        <w:t xml:space="preserve">исленность занятых в экономике </w:t>
      </w:r>
      <w:r>
        <w:t xml:space="preserve">составила </w:t>
      </w:r>
      <w:r w:rsidRPr="005240BA">
        <w:t>31 044</w:t>
      </w:r>
      <w:r>
        <w:t xml:space="preserve"> человек, прирост по сравнению с предыдущим годом составил 0,32% (на 8,5</w:t>
      </w:r>
      <w:r w:rsidRPr="005240BA">
        <w:t>% выше планового показателя</w:t>
      </w:r>
      <w:r>
        <w:t xml:space="preserve">). </w:t>
      </w:r>
      <w:r w:rsidRPr="00625F47">
        <w:t xml:space="preserve">Среднесписочная численность работников по крупным и средним организациям за 2016 </w:t>
      </w:r>
      <w:r>
        <w:t>г.</w:t>
      </w:r>
      <w:r w:rsidRPr="00625F47">
        <w:t xml:space="preserve"> составила 25,7 тыс. человек, из которых 52% (или 13,4</w:t>
      </w:r>
      <w:r>
        <w:t> </w:t>
      </w:r>
      <w:r w:rsidRPr="00625F47">
        <w:t xml:space="preserve">тыс. человек) </w:t>
      </w:r>
      <w:r>
        <w:t>заняты</w:t>
      </w:r>
      <w:r w:rsidRPr="00625F47">
        <w:t xml:space="preserve"> в промышленном производстве. </w:t>
      </w:r>
      <w:r>
        <w:t xml:space="preserve">Ведущей отраслью занятости населения является добыча полезных ископаемых: на неё приходится 41,6% среднесписочной численности сотрудников предприятий района. Вторая по величине отрасль – транспорт и связь (13,9%). На обрабатывающих производствах задействовано только 7,2% занятых в экономике. </w:t>
      </w:r>
    </w:p>
    <w:p w14:paraId="5F2F6A9F" w14:textId="150F9DA6" w:rsidR="003903BD" w:rsidRDefault="003903BD" w:rsidP="00A93D7F"/>
    <w:p w14:paraId="1BB259BE" w14:textId="22C631D4" w:rsidR="008568F0" w:rsidRDefault="008568F0" w:rsidP="00A93D7F">
      <w:r>
        <w:rPr>
          <w:noProof/>
        </w:rPr>
        <w:lastRenderedPageBreak/>
        <w:drawing>
          <wp:inline distT="0" distB="0" distL="0" distR="0" wp14:anchorId="28724784" wp14:editId="39FBE4EF">
            <wp:extent cx="5409565" cy="2293815"/>
            <wp:effectExtent l="0" t="0" r="635"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1A51F4" w14:textId="4A21EC48" w:rsidR="003903BD" w:rsidRPr="00D85062" w:rsidRDefault="003903BD" w:rsidP="00A93D7F">
      <w:pPr>
        <w:rPr>
          <w:b/>
        </w:rPr>
      </w:pPr>
      <w:r w:rsidRPr="00D85062">
        <w:rPr>
          <w:b/>
        </w:rPr>
        <w:t xml:space="preserve">Рисунок </w:t>
      </w:r>
      <w:r w:rsidRPr="00D85062">
        <w:rPr>
          <w:b/>
        </w:rPr>
        <w:fldChar w:fldCharType="begin"/>
      </w:r>
      <w:r w:rsidRPr="00D85062">
        <w:rPr>
          <w:b/>
        </w:rPr>
        <w:instrText xml:space="preserve"> SEQ Рисунок \* ARABIC </w:instrText>
      </w:r>
      <w:r w:rsidRPr="00D85062">
        <w:rPr>
          <w:b/>
        </w:rPr>
        <w:fldChar w:fldCharType="separate"/>
      </w:r>
      <w:r w:rsidR="00ED1BAA">
        <w:rPr>
          <w:b/>
          <w:noProof/>
        </w:rPr>
        <w:t>3</w:t>
      </w:r>
      <w:r w:rsidRPr="00D85062">
        <w:rPr>
          <w:b/>
        </w:rPr>
        <w:fldChar w:fldCharType="end"/>
      </w:r>
      <w:r w:rsidRPr="00D85062">
        <w:rPr>
          <w:b/>
        </w:rPr>
        <w:t xml:space="preserve"> Динамика среднегодовой численности занятых в экономике</w:t>
      </w:r>
      <w:r w:rsidR="00C27C84" w:rsidRPr="00D85062">
        <w:rPr>
          <w:b/>
        </w:rPr>
        <w:t xml:space="preserve"> в 2011-2017 </w:t>
      </w:r>
      <w:r w:rsidRPr="00D85062">
        <w:rPr>
          <w:b/>
        </w:rPr>
        <w:t>гг.</w:t>
      </w:r>
    </w:p>
    <w:p w14:paraId="01ACD9E2" w14:textId="77777777" w:rsidR="003903BD" w:rsidRDefault="003903BD" w:rsidP="00A93D7F"/>
    <w:p w14:paraId="3F283CAA" w14:textId="1706F82F" w:rsidR="00D8159C" w:rsidRDefault="003A6903" w:rsidP="00A93D7F">
      <w:r w:rsidRPr="00B44F1E">
        <w:t>Среднемесячная начисленная заработная плата одного работника по крупным и средним предприятиям за 2016 год составила 72 898,4 рублей</w:t>
      </w:r>
      <w:r>
        <w:t xml:space="preserve"> (</w:t>
      </w:r>
      <w:r w:rsidRPr="00F5063B">
        <w:t>1,8% выше целевого значения и на 6,4% выше среднеокружного значения</w:t>
      </w:r>
      <w:r>
        <w:t>)</w:t>
      </w:r>
      <w:r w:rsidRPr="00B44F1E">
        <w:t xml:space="preserve">, рост к 2015 году составил 5,0%. </w:t>
      </w:r>
      <w:r>
        <w:t>В районе фиксируется долгосрочная тенденция к высокой отраслевой дифференциации с</w:t>
      </w:r>
      <w:r w:rsidRPr="000B253D">
        <w:t>реднемесячн</w:t>
      </w:r>
      <w:r>
        <w:t>ой</w:t>
      </w:r>
      <w:r w:rsidRPr="000B253D">
        <w:t xml:space="preserve"> заработн</w:t>
      </w:r>
      <w:r>
        <w:t>ой</w:t>
      </w:r>
      <w:r w:rsidRPr="000B253D">
        <w:t xml:space="preserve"> плат</w:t>
      </w:r>
      <w:r>
        <w:t>ы</w:t>
      </w:r>
      <w:r w:rsidRPr="000B253D">
        <w:t xml:space="preserve"> работников организаци</w:t>
      </w:r>
      <w:r>
        <w:t>й: максимальный уровень в 2016 году был зафиксирован в добыче полезных ископаемых (</w:t>
      </w:r>
      <w:r w:rsidRPr="00EE11B9">
        <w:t>90</w:t>
      </w:r>
      <w:r>
        <w:t> </w:t>
      </w:r>
      <w:r w:rsidRPr="00EE11B9">
        <w:t>533</w:t>
      </w:r>
      <w:r>
        <w:t xml:space="preserve"> руб.), т</w:t>
      </w:r>
      <w:r w:rsidRPr="00EE11B9">
        <w:t>ранспорт</w:t>
      </w:r>
      <w:r>
        <w:t>е</w:t>
      </w:r>
      <w:r w:rsidRPr="00EE11B9">
        <w:t xml:space="preserve"> и связ</w:t>
      </w:r>
      <w:r>
        <w:t>и (</w:t>
      </w:r>
      <w:r w:rsidRPr="00EE11B9">
        <w:t>77</w:t>
      </w:r>
      <w:r>
        <w:t xml:space="preserve"> </w:t>
      </w:r>
      <w:r w:rsidRPr="00EE11B9">
        <w:t>374,1</w:t>
      </w:r>
      <w:r>
        <w:t xml:space="preserve"> руб.) и о</w:t>
      </w:r>
      <w:r w:rsidRPr="00EE11B9">
        <w:t>брабатывающи</w:t>
      </w:r>
      <w:r>
        <w:t>х</w:t>
      </w:r>
      <w:r w:rsidRPr="00EE11B9">
        <w:t xml:space="preserve"> производства</w:t>
      </w:r>
      <w:r>
        <w:t>х (</w:t>
      </w:r>
      <w:r w:rsidRPr="00EE11B9">
        <w:t>74</w:t>
      </w:r>
      <w:r>
        <w:t xml:space="preserve"> </w:t>
      </w:r>
      <w:r w:rsidRPr="00EE11B9">
        <w:t>822,2</w:t>
      </w:r>
      <w:r>
        <w:t xml:space="preserve"> руб.), минимальный – в розничной и оптовой торговле (</w:t>
      </w:r>
      <w:r w:rsidRPr="00EE11B9">
        <w:t>35</w:t>
      </w:r>
      <w:r>
        <w:t xml:space="preserve"> </w:t>
      </w:r>
      <w:r w:rsidRPr="00EE11B9">
        <w:t>861,4</w:t>
      </w:r>
      <w:r>
        <w:t xml:space="preserve"> руб.), сфере общественного питания и средств размещения (</w:t>
      </w:r>
      <w:r w:rsidRPr="00EE11B9">
        <w:t>24</w:t>
      </w:r>
      <w:r>
        <w:t xml:space="preserve"> </w:t>
      </w:r>
      <w:r w:rsidRPr="00EE11B9">
        <w:t>382,6</w:t>
      </w:r>
      <w:r>
        <w:t xml:space="preserve"> руб.) – сферах работы малого бизнеса.</w:t>
      </w:r>
    </w:p>
    <w:p w14:paraId="6C802B70" w14:textId="77777777" w:rsidR="006F5CAC" w:rsidRDefault="006F5CAC" w:rsidP="00A93D7F"/>
    <w:p w14:paraId="258DDDEE" w14:textId="2EDFC002" w:rsidR="003A6903" w:rsidRDefault="006F5CAC" w:rsidP="00D85062">
      <w:pPr>
        <w:ind w:firstLine="0"/>
      </w:pPr>
      <w:r w:rsidRPr="006F5CAC">
        <w:rPr>
          <w:noProof/>
        </w:rPr>
        <w:drawing>
          <wp:inline distT="0" distB="0" distL="0" distR="0" wp14:anchorId="58D5D089" wp14:editId="1C366A55">
            <wp:extent cx="5974601" cy="2615687"/>
            <wp:effectExtent l="0" t="0" r="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6063867" cy="2654768"/>
                    </a:xfrm>
                    <a:prstGeom prst="rect">
                      <a:avLst/>
                    </a:prstGeom>
                  </pic:spPr>
                </pic:pic>
              </a:graphicData>
            </a:graphic>
          </wp:inline>
        </w:drawing>
      </w:r>
    </w:p>
    <w:p w14:paraId="4E87BBEB" w14:textId="54C0B107" w:rsidR="003A6903" w:rsidRPr="00D85062" w:rsidRDefault="003A6903" w:rsidP="00D85062">
      <w:pPr>
        <w:rPr>
          <w:b/>
        </w:rPr>
      </w:pPr>
      <w:r w:rsidRPr="00D85062">
        <w:rPr>
          <w:b/>
        </w:rPr>
        <w:t xml:space="preserve">Рисунок </w:t>
      </w:r>
      <w:r w:rsidRPr="00D85062">
        <w:rPr>
          <w:b/>
        </w:rPr>
        <w:fldChar w:fldCharType="begin"/>
      </w:r>
      <w:r w:rsidRPr="00D85062">
        <w:rPr>
          <w:b/>
        </w:rPr>
        <w:instrText xml:space="preserve"> SEQ Рисунок \* ARABIC </w:instrText>
      </w:r>
      <w:r w:rsidRPr="00D85062">
        <w:rPr>
          <w:b/>
        </w:rPr>
        <w:fldChar w:fldCharType="separate"/>
      </w:r>
      <w:r w:rsidR="00ED1BAA">
        <w:rPr>
          <w:b/>
          <w:noProof/>
        </w:rPr>
        <w:t>4</w:t>
      </w:r>
      <w:r w:rsidRPr="00D85062">
        <w:rPr>
          <w:b/>
        </w:rPr>
        <w:fldChar w:fldCharType="end"/>
      </w:r>
      <w:r w:rsidRPr="00D85062">
        <w:rPr>
          <w:b/>
        </w:rPr>
        <w:t xml:space="preserve"> Динамика среднемесячной заработной платы работников организаций в 2011-2016 гг., руб. </w:t>
      </w:r>
    </w:p>
    <w:p w14:paraId="4840F2A6" w14:textId="77777777" w:rsidR="003A6903" w:rsidRDefault="003A6903" w:rsidP="00A93D7F"/>
    <w:p w14:paraId="7EA9A0B2" w14:textId="77777777" w:rsidR="003A6903" w:rsidRDefault="003A6903" w:rsidP="00A93D7F">
      <w:r w:rsidRPr="00B44F1E">
        <w:t xml:space="preserve">В 2016 году наблюдался рост среднемесячных денежных доходов на 3,5% (обусловленным увеличением фонда оплаты труда на 5%, социальных трансфертов </w:t>
      </w:r>
      <w:r>
        <w:t xml:space="preserve">– </w:t>
      </w:r>
      <w:r w:rsidRPr="00B44F1E">
        <w:t xml:space="preserve">на 13%), пенсионных выплат </w:t>
      </w:r>
      <w:r>
        <w:t xml:space="preserve">– </w:t>
      </w:r>
      <w:r w:rsidRPr="00B44F1E">
        <w:t>на 2,5%.</w:t>
      </w:r>
      <w:r>
        <w:t xml:space="preserve"> </w:t>
      </w:r>
    </w:p>
    <w:p w14:paraId="4C86B710" w14:textId="77777777" w:rsidR="003A6903" w:rsidRDefault="003A6903" w:rsidP="00A93D7F">
      <w:r>
        <w:t>Рост потребительских цен в совокупности с высокой</w:t>
      </w:r>
      <w:r w:rsidRPr="00524B8D">
        <w:t xml:space="preserve"> зависимость</w:t>
      </w:r>
      <w:r>
        <w:t>ю</w:t>
      </w:r>
      <w:r w:rsidRPr="00524B8D">
        <w:t xml:space="preserve"> крупных предприятий района от мировой экономики обусловили негативную динамику </w:t>
      </w:r>
      <w:r>
        <w:t>ряда</w:t>
      </w:r>
      <w:r w:rsidRPr="00524B8D">
        <w:t xml:space="preserve"> целевых</w:t>
      </w:r>
      <w:r>
        <w:t xml:space="preserve"> </w:t>
      </w:r>
      <w:r w:rsidRPr="00524B8D">
        <w:t>значений</w:t>
      </w:r>
      <w:r>
        <w:t xml:space="preserve">. </w:t>
      </w:r>
      <w:r w:rsidRPr="00B44F1E">
        <w:t>Реальные располагаемые денежные доходы населения с учетом индекса потребительских цен составили 95,3% (за 2015 год 99,2%)</w:t>
      </w:r>
      <w:r>
        <w:t xml:space="preserve"> при </w:t>
      </w:r>
      <w:r w:rsidRPr="00524B8D">
        <w:t xml:space="preserve">целевом значении </w:t>
      </w:r>
      <w:r w:rsidRPr="00524B8D">
        <w:lastRenderedPageBreak/>
        <w:t>102,0</w:t>
      </w:r>
      <w:r>
        <w:t>%</w:t>
      </w:r>
      <w:r w:rsidRPr="00B44F1E">
        <w:t xml:space="preserve">. </w:t>
      </w:r>
      <w:r w:rsidRPr="00F5063B">
        <w:t>Доля населения, имеющего денежные доходы ниже величины прожиточного минимума, в общей численности населения района составила 1,1%, что на 0,5% ниже планового значения</w:t>
      </w:r>
      <w:r>
        <w:t>. С</w:t>
      </w:r>
      <w:r w:rsidRPr="00524B8D">
        <w:t>нижение реально располагаемых денежных доходов в расчете на душу населения, которые составили 95,3 % (при целевом значении 102,0 %)</w:t>
      </w:r>
      <w:r>
        <w:t xml:space="preserve">. </w:t>
      </w:r>
    </w:p>
    <w:p w14:paraId="6729B7F4" w14:textId="77777777" w:rsidR="003A6903" w:rsidRPr="00524B8D" w:rsidRDefault="003A6903" w:rsidP="00A93D7F">
      <w:r>
        <w:t>Н</w:t>
      </w:r>
      <w:r w:rsidRPr="00524B8D">
        <w:t>е достигнуто целевое значение показате</w:t>
      </w:r>
      <w:r>
        <w:t>ля среднего</w:t>
      </w:r>
      <w:r w:rsidRPr="00524B8D">
        <w:t xml:space="preserve"> размер</w:t>
      </w:r>
      <w:r>
        <w:t>а</w:t>
      </w:r>
      <w:r w:rsidRPr="00524B8D">
        <w:t xml:space="preserve"> дохода пенсионера</w:t>
      </w:r>
      <w:r>
        <w:t>:</w:t>
      </w:r>
      <w:r w:rsidRPr="00524B8D">
        <w:t xml:space="preserve"> </w:t>
      </w:r>
      <w:r>
        <w:t xml:space="preserve">в 2016 г. средний размер пенсии составил </w:t>
      </w:r>
      <w:r w:rsidRPr="00524B8D">
        <w:t>18 850 р</w:t>
      </w:r>
      <w:r>
        <w:t>ублей (рост по сравнению с 2015 г.</w:t>
      </w:r>
      <w:r w:rsidRPr="00524B8D">
        <w:t xml:space="preserve"> на 12,5 %) </w:t>
      </w:r>
      <w:r>
        <w:t>при плановом значении 20 750</w:t>
      </w:r>
      <w:r w:rsidRPr="00524B8D">
        <w:t xml:space="preserve"> </w:t>
      </w:r>
      <w:r>
        <w:t>рублей.</w:t>
      </w:r>
    </w:p>
    <w:p w14:paraId="4682EEFF" w14:textId="77777777" w:rsidR="003A6903" w:rsidRDefault="003A6903" w:rsidP="00A93D7F">
      <w:r>
        <w:t>В целом, с</w:t>
      </w:r>
      <w:r w:rsidRPr="005A58C1">
        <w:t>оциально-демографическую ситуацию в Нефтеюганском районе можно характеризовать как стабильную. Слабой стороной демографической ситуации можно назвать</w:t>
      </w:r>
      <w:r>
        <w:t xml:space="preserve"> </w:t>
      </w:r>
      <w:r w:rsidRPr="005A58C1">
        <w:t>моноотраслевую</w:t>
      </w:r>
      <w:r>
        <w:t xml:space="preserve"> структуру занятости населения. Анализ состояния рынка труда и уровня жизни населения определяет потенциальные риски для экономики района на долгосрочную перспективу:</w:t>
      </w:r>
    </w:p>
    <w:p w14:paraId="281780EF" w14:textId="77777777" w:rsidR="003A6903" w:rsidRPr="00987E9A" w:rsidRDefault="003A6903" w:rsidP="00A93D7F">
      <w:pPr>
        <w:pStyle w:val="a0"/>
        <w:numPr>
          <w:ilvl w:val="0"/>
          <w:numId w:val="12"/>
        </w:numPr>
      </w:pPr>
      <w:r>
        <w:t>в</w:t>
      </w:r>
      <w:r w:rsidRPr="00987E9A">
        <w:t>ысокая концентрация трудовых ресурсов на предприятиях в добывающей отрасли и на предприятиях отраслей</w:t>
      </w:r>
      <w:r>
        <w:t>, обслуживающих</w:t>
      </w:r>
      <w:r w:rsidRPr="00987E9A">
        <w:t xml:space="preserve"> </w:t>
      </w:r>
      <w:r>
        <w:t>нефтедобычу</w:t>
      </w:r>
      <w:r w:rsidRPr="00987E9A">
        <w:t xml:space="preserve"> (машино</w:t>
      </w:r>
      <w:r>
        <w:t>строение, транспорт)</w:t>
      </w:r>
      <w:r w:rsidRPr="00987E9A">
        <w:t>, зависимых от внешнеэкономической конъюнктуры</w:t>
      </w:r>
      <w:r>
        <w:t>;</w:t>
      </w:r>
    </w:p>
    <w:p w14:paraId="28BA1190" w14:textId="77777777" w:rsidR="003A6903" w:rsidRPr="00987E9A" w:rsidRDefault="003A6903" w:rsidP="00A93D7F">
      <w:pPr>
        <w:pStyle w:val="a0"/>
        <w:numPr>
          <w:ilvl w:val="0"/>
          <w:numId w:val="12"/>
        </w:numPr>
      </w:pPr>
      <w:r>
        <w:t>в</w:t>
      </w:r>
      <w:r w:rsidRPr="00987E9A">
        <w:t>едущим драйвером роста доходов населения являются социал</w:t>
      </w:r>
      <w:r>
        <w:t>ьные выплаты, а не рост оплаты труда;</w:t>
      </w:r>
    </w:p>
    <w:p w14:paraId="054098C2" w14:textId="77777777" w:rsidR="003A6903" w:rsidRPr="00987E9A" w:rsidRDefault="003A6903" w:rsidP="00A93D7F">
      <w:pPr>
        <w:pStyle w:val="a0"/>
        <w:numPr>
          <w:ilvl w:val="0"/>
          <w:numId w:val="12"/>
        </w:numPr>
      </w:pPr>
      <w:r>
        <w:t>сокращение реальных</w:t>
      </w:r>
      <w:r w:rsidRPr="00987E9A">
        <w:t xml:space="preserve"> располагаемых доходов населения</w:t>
      </w:r>
      <w:r>
        <w:t>;</w:t>
      </w:r>
    </w:p>
    <w:p w14:paraId="1A30FCFB" w14:textId="77777777" w:rsidR="003A6903" w:rsidRPr="00987E9A" w:rsidRDefault="003A6903" w:rsidP="00A93D7F">
      <w:pPr>
        <w:pStyle w:val="a0"/>
        <w:numPr>
          <w:ilvl w:val="0"/>
          <w:numId w:val="12"/>
        </w:numPr>
      </w:pPr>
      <w:r>
        <w:t>в</w:t>
      </w:r>
      <w:r w:rsidRPr="00987E9A">
        <w:t>ысокий уровень отраслевой дифференциации</w:t>
      </w:r>
      <w:r>
        <w:t xml:space="preserve"> среднемесячной заработной платы</w:t>
      </w:r>
      <w:r w:rsidRPr="00987E9A">
        <w:t xml:space="preserve"> работников организаций.</w:t>
      </w:r>
    </w:p>
    <w:p w14:paraId="6465ECFE" w14:textId="77777777" w:rsidR="003A6903" w:rsidRDefault="003A6903" w:rsidP="00A93D7F">
      <w:r>
        <w:t>Развитие малого и среднего предпринимательства в отраслях несвязанных с добычей полезных ископаемых, стимулирование самозанятости населения позволит преодолеть выше обозначенные проблемы.</w:t>
      </w:r>
    </w:p>
    <w:p w14:paraId="6DE3579D" w14:textId="77777777" w:rsidR="00142462" w:rsidRPr="0071424E" w:rsidRDefault="00142462" w:rsidP="00A93D7F"/>
    <w:p w14:paraId="5CB2FCB6" w14:textId="7CB3088A" w:rsidR="00557228" w:rsidRPr="003C737B" w:rsidRDefault="00F64B3A" w:rsidP="003C737B">
      <w:pPr>
        <w:jc w:val="center"/>
        <w:rPr>
          <w:b/>
        </w:rPr>
      </w:pPr>
      <w:r w:rsidRPr="003C737B">
        <w:rPr>
          <w:b/>
        </w:rPr>
        <w:t>Развитие отраслей социальной сферы</w:t>
      </w:r>
    </w:p>
    <w:p w14:paraId="45A523F6" w14:textId="77777777" w:rsidR="00142462" w:rsidRDefault="00142462" w:rsidP="00A93D7F"/>
    <w:p w14:paraId="778795F7" w14:textId="77777777" w:rsidR="006F1D46" w:rsidRPr="003C737B" w:rsidRDefault="006F1D46" w:rsidP="00A93D7F">
      <w:pPr>
        <w:rPr>
          <w:i/>
        </w:rPr>
      </w:pPr>
      <w:r w:rsidRPr="003C737B">
        <w:rPr>
          <w:i/>
        </w:rPr>
        <w:t>Развитие системы здравоохранения</w:t>
      </w:r>
    </w:p>
    <w:p w14:paraId="27912310" w14:textId="77777777" w:rsidR="006F1D46" w:rsidRDefault="006F1D46" w:rsidP="00A93D7F">
      <w:r>
        <w:t>Система здравоохранения</w:t>
      </w:r>
      <w:r w:rsidRPr="005C28A6">
        <w:t xml:space="preserve"> Нефтеюганс</w:t>
      </w:r>
      <w:r>
        <w:t>кого района сегодня представлена БУ </w:t>
      </w:r>
      <w:r w:rsidRPr="005C28A6">
        <w:t>Ханты-Мансийского автономного округа – Югры</w:t>
      </w:r>
      <w:r>
        <w:t xml:space="preserve"> </w:t>
      </w:r>
      <w:r w:rsidRPr="005C28A6">
        <w:t>Нефтеюганской районной больницей</w:t>
      </w:r>
      <w:r>
        <w:t xml:space="preserve">. </w:t>
      </w:r>
      <w:r w:rsidRPr="00692F24">
        <w:t>На сегодняшний день Н</w:t>
      </w:r>
      <w:r>
        <w:t>ефтеюганская районная больница –</w:t>
      </w:r>
      <w:r w:rsidRPr="00692F24">
        <w:t xml:space="preserve"> многопрофильное учреждение здравоохранения, оказывающее амбулаторно-поликлиническую и стационарную медицинскую помощь жителям Нефтеюганского района.</w:t>
      </w:r>
      <w:r>
        <w:t xml:space="preserve"> В состав учреждения входят</w:t>
      </w:r>
      <w:r w:rsidRPr="00692F24">
        <w:t xml:space="preserve"> Салымская участковая больница, 6 амбулаторий (сп. Юганская Обь, сп. Каркатеевы, сп. Сингапай, сп. Чеускино,</w:t>
      </w:r>
      <w:r>
        <w:t xml:space="preserve"> сп. Сентябрьский, сп. Куть-Ях) и</w:t>
      </w:r>
      <w:r w:rsidRPr="00692F24">
        <w:t xml:space="preserve"> 5 фельдшерско-акушерских пунктов (сп. Лемпино, сп. Усть-Юган, сп. Сивысь-Ях, КС-6, КС – 5).</w:t>
      </w:r>
    </w:p>
    <w:p w14:paraId="05FAD9E2" w14:textId="77777777" w:rsidR="006F1D46" w:rsidRPr="005C28A6" w:rsidRDefault="006F1D46" w:rsidP="00A93D7F">
      <w:r>
        <w:t>Всего</w:t>
      </w:r>
      <w:r w:rsidRPr="005C28A6">
        <w:t xml:space="preserve"> в лечебно-профилактических учреждениях Нефтеюганского района </w:t>
      </w:r>
      <w:r>
        <w:t>работает</w:t>
      </w:r>
      <w:r w:rsidRPr="005C28A6">
        <w:t xml:space="preserve"> врачей – 105 человек, средних медработников – 423 человека. 64,0% врачей и</w:t>
      </w:r>
      <w:r>
        <w:t xml:space="preserve">меют квалификационные категории, из них </w:t>
      </w:r>
      <w:r w:rsidRPr="005C28A6">
        <w:t>высшую кв</w:t>
      </w:r>
      <w:r>
        <w:t>алификационную категорию имеют</w:t>
      </w:r>
      <w:r w:rsidRPr="005C28A6">
        <w:t xml:space="preserve"> 24,8%, первую – 29,5%, вторую – 9,5%.</w:t>
      </w:r>
    </w:p>
    <w:p w14:paraId="03856801" w14:textId="77777777" w:rsidR="006F1D46" w:rsidRPr="005C28A6" w:rsidRDefault="006F1D46" w:rsidP="00A93D7F">
      <w:r>
        <w:t>Численность населения, обслуживаемого</w:t>
      </w:r>
      <w:r w:rsidRPr="005C28A6">
        <w:t xml:space="preserve"> ЛПУ района, составляет более 46 тыс. человек. Также на медицинском обслуживании бюджетного учреждения Ханты-Мансийского автономного округа – Югры «Нефтеюганская районная больница» находятся около 50 тысяч рабочих нефтяной отрасли, работающих на месторождениях вахтовым методом. </w:t>
      </w:r>
    </w:p>
    <w:p w14:paraId="2FF3AAFB" w14:textId="77777777" w:rsidR="006F1D46" w:rsidRPr="005C28A6" w:rsidRDefault="006F1D46" w:rsidP="00A93D7F">
      <w:r w:rsidRPr="005C28A6">
        <w:t>На территории Нефтеюганского района расположены учреждения здравоохранения Ханты-Мансийс</w:t>
      </w:r>
      <w:r>
        <w:t xml:space="preserve">кого автономного округа – Югры </w:t>
      </w:r>
      <w:r w:rsidRPr="005C28A6">
        <w:rPr>
          <w:shd w:val="clear" w:color="auto" w:fill="FFFFFF"/>
        </w:rPr>
        <w:t>санаторий-профилакторий</w:t>
      </w:r>
      <w:r w:rsidRPr="005C28A6">
        <w:rPr>
          <w:rFonts w:eastAsia="Times New Roman"/>
          <w:color w:val="000000"/>
        </w:rPr>
        <w:t xml:space="preserve"> «Юган» </w:t>
      </w:r>
      <w:r>
        <w:t xml:space="preserve">и </w:t>
      </w:r>
      <w:r w:rsidRPr="005C28A6">
        <w:t>«Лемпинский наркологический реабилитационный центр».</w:t>
      </w:r>
    </w:p>
    <w:p w14:paraId="31F33700" w14:textId="77777777" w:rsidR="006F1D46" w:rsidRDefault="006F1D46" w:rsidP="00A93D7F">
      <w:r w:rsidRPr="005C28A6">
        <w:t>Обеспечение населения района медикаментами осуществляют ООО </w:t>
      </w:r>
      <w:r>
        <w:t>«Центральная районная аптека»</w:t>
      </w:r>
      <w:r w:rsidRPr="005C28A6">
        <w:t xml:space="preserve"> c филиалом в сп.Салым, ООО МФП </w:t>
      </w:r>
      <w:r>
        <w:t>«Медитас» и</w:t>
      </w:r>
      <w:r w:rsidRPr="005C28A6">
        <w:t xml:space="preserve"> ООО «Улыбка». Во всех поселениях имеются аптечные пункты.</w:t>
      </w:r>
    </w:p>
    <w:p w14:paraId="5A91D058" w14:textId="77777777" w:rsidR="006F1D46" w:rsidRDefault="006F1D46" w:rsidP="00A93D7F">
      <w:r>
        <w:lastRenderedPageBreak/>
        <w:t>По данным Нефтеюганской районной больницы, в 2017 году 70% опрошенного населения удовлетворены медицинской помощью как в городской, так и в сельской местности. Основной причиной смертности являются болезни системы кровообращения, при этом удельный вес случаев выше в сельской местности. По критериям доступности медицинской помощи, наибольшую долю медицинского персонала составляет средний медицинский персонал, меньшую долю – врачи. По сравнению с сельским населением обеспеченность городского населения врачами выше в 3,6 раза, обеспеченность средним медицинским персоналом – в 2 раза.</w:t>
      </w:r>
    </w:p>
    <w:p w14:paraId="26F2958A" w14:textId="047977F2" w:rsidR="006F1D46" w:rsidRDefault="00D85C3F" w:rsidP="00A93D7F">
      <w:r>
        <w:rPr>
          <w:noProof/>
        </w:rPr>
        <w:drawing>
          <wp:inline distT="0" distB="0" distL="0" distR="0" wp14:anchorId="310508FD" wp14:editId="2A482E2B">
            <wp:extent cx="5109357" cy="2272714"/>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5F933E" w14:textId="77777777" w:rsidR="006F1D46" w:rsidRDefault="006F1D46" w:rsidP="00A93D7F">
      <w:pPr>
        <w:pStyle w:val="ac"/>
      </w:pPr>
      <w:r>
        <w:t xml:space="preserve">Рисунок </w:t>
      </w:r>
      <w:fldSimple w:instr=" SEQ Рисунок \* ARABIC ">
        <w:r w:rsidR="00ED1BAA">
          <w:rPr>
            <w:noProof/>
          </w:rPr>
          <w:t>5</w:t>
        </w:r>
      </w:fldSimple>
      <w:r>
        <w:t xml:space="preserve"> </w:t>
      </w:r>
      <w:r w:rsidRPr="00636F8B">
        <w:t>Смертность населения и обеспеченность медицинским персоналом Нефтеюганского района, 2017 г.</w:t>
      </w:r>
    </w:p>
    <w:p w14:paraId="44A08FA2" w14:textId="77777777" w:rsidR="006F1D46" w:rsidRDefault="006F1D46" w:rsidP="00A93D7F">
      <w:pPr>
        <w:pStyle w:val="ac"/>
      </w:pPr>
    </w:p>
    <w:p w14:paraId="5EB31915" w14:textId="77777777" w:rsidR="006F1D46" w:rsidRPr="003C737B" w:rsidRDefault="006F1D46" w:rsidP="00A93D7F">
      <w:pPr>
        <w:rPr>
          <w:i/>
        </w:rPr>
      </w:pPr>
      <w:r w:rsidRPr="003C737B">
        <w:rPr>
          <w:i/>
        </w:rPr>
        <w:t>Развитие системы образования и молодежной политики</w:t>
      </w:r>
    </w:p>
    <w:p w14:paraId="17D635AA" w14:textId="77777777" w:rsidR="006F1D46" w:rsidRDefault="006F1D46" w:rsidP="00A93D7F">
      <w:r w:rsidRPr="00E03380">
        <w:t>Система образования Нефтеюганского района представлена 33 образовательными учрежд</w:t>
      </w:r>
      <w:r>
        <w:t>ениями, из них</w:t>
      </w:r>
      <w:r w:rsidRPr="00E03380">
        <w:t xml:space="preserve"> 14 школ, 1</w:t>
      </w:r>
      <w:r>
        <w:t>4</w:t>
      </w:r>
      <w:r w:rsidRPr="00E03380">
        <w:t xml:space="preserve"> </w:t>
      </w:r>
      <w:r>
        <w:t>дошкольных образовательных организаций</w:t>
      </w:r>
      <w:r w:rsidRPr="00E03380">
        <w:t xml:space="preserve"> и 3 учреждения дополнительного образования. </w:t>
      </w:r>
    </w:p>
    <w:p w14:paraId="0FD577FA" w14:textId="77777777" w:rsidR="006F1D46" w:rsidRDefault="006F1D46" w:rsidP="00A93D7F">
      <w:r>
        <w:t>За рассматриваемый период отмечается рост численности детей, обучающихся в дошкольных образовательных учреждениях и в образовательных учреждениях, при общем сокращении числа образовательных учреждений.</w:t>
      </w:r>
    </w:p>
    <w:p w14:paraId="2D460EDD" w14:textId="77777777" w:rsidR="008901BD" w:rsidRDefault="008901BD" w:rsidP="00A93D7F"/>
    <w:p w14:paraId="41502BC5" w14:textId="506E29CA" w:rsidR="006F1D46" w:rsidRDefault="008901BD" w:rsidP="00A93D7F">
      <w:r>
        <w:rPr>
          <w:noProof/>
        </w:rPr>
        <w:drawing>
          <wp:inline distT="0" distB="0" distL="0" distR="0" wp14:anchorId="2D93BF66" wp14:editId="18227350">
            <wp:extent cx="5088255" cy="2352753"/>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ABFD22" w14:textId="4CD19A60" w:rsidR="006F1D46" w:rsidRPr="00A045F3" w:rsidRDefault="006F1D46" w:rsidP="00A93D7F">
      <w:pPr>
        <w:pStyle w:val="ac"/>
      </w:pPr>
      <w:r>
        <w:t xml:space="preserve">Рисунок </w:t>
      </w:r>
      <w:fldSimple w:instr=" SEQ Рисунок \* ARABIC ">
        <w:r w:rsidR="00ED1BAA">
          <w:rPr>
            <w:noProof/>
          </w:rPr>
          <w:t>6</w:t>
        </w:r>
      </w:fldSimple>
      <w:r>
        <w:t xml:space="preserve"> </w:t>
      </w:r>
      <w:r w:rsidR="00972931">
        <w:t xml:space="preserve">Динамика численности детей в дошкольных образовательных и общеобразовательных учреждениях в </w:t>
      </w:r>
      <w:r w:rsidRPr="00A045F3">
        <w:t>2011-2016 гг.</w:t>
      </w:r>
    </w:p>
    <w:p w14:paraId="501ACFA7" w14:textId="77777777" w:rsidR="006F1D46" w:rsidRPr="00E03380" w:rsidRDefault="006F1D46" w:rsidP="00A93D7F">
      <w:pPr>
        <w:pStyle w:val="ac"/>
      </w:pPr>
    </w:p>
    <w:p w14:paraId="2F9D0C64" w14:textId="77777777" w:rsidR="006F1D46" w:rsidRPr="005E5333" w:rsidRDefault="006F1D46" w:rsidP="00A93D7F">
      <w:r w:rsidRPr="005E5333">
        <w:t>В 2016</w:t>
      </w:r>
      <w:r>
        <w:t xml:space="preserve"> году приступили к обучению по </w:t>
      </w:r>
      <w:r w:rsidRPr="005E5333">
        <w:t xml:space="preserve">новым стандартам 3059 учащихся 1-6 классов (в 2015 г. </w:t>
      </w:r>
      <w:r>
        <w:t>–</w:t>
      </w:r>
      <w:r w:rsidRPr="005E5333">
        <w:t xml:space="preserve"> 2555). </w:t>
      </w:r>
    </w:p>
    <w:p w14:paraId="36F1202F" w14:textId="77777777" w:rsidR="006F1D46" w:rsidRPr="005E5333" w:rsidRDefault="006F1D46" w:rsidP="00A93D7F">
      <w:r w:rsidRPr="005E5333">
        <w:lastRenderedPageBreak/>
        <w:t>В 2016 году средние баллы по всем предметам государственной итоговой аттестации выпускников 9-х, 11-х классов сопоставимы с результатами последних лет</w:t>
      </w:r>
      <w:r>
        <w:t>, что свидетельствует о стабильном качестве</w:t>
      </w:r>
      <w:r w:rsidRPr="005E5333">
        <w:t xml:space="preserve"> подготовки выпускников. </w:t>
      </w:r>
    </w:p>
    <w:p w14:paraId="7FDA4144" w14:textId="69674E49" w:rsidR="006F1D46" w:rsidRDefault="006F1D46" w:rsidP="00A93D7F">
      <w:r w:rsidRPr="005E5333">
        <w:t>Остаётся высоким число участников ЕГЭ, набравших по русск</w:t>
      </w:r>
      <w:r>
        <w:t>ому языку 70 баллов и выше – 34</w:t>
      </w:r>
      <w:r w:rsidRPr="005E5333">
        <w:t>%. Средний тестовый бал единого государственного экзамена по литературе и английск</w:t>
      </w:r>
      <w:r>
        <w:t>ому языку выше, чем аналогичные показатели по</w:t>
      </w:r>
      <w:r w:rsidRPr="005E5333">
        <w:t xml:space="preserve"> автономном</w:t>
      </w:r>
      <w:r>
        <w:t>у округу</w:t>
      </w:r>
      <w:r w:rsidRPr="005E5333">
        <w:t>.</w:t>
      </w:r>
      <w:r>
        <w:t xml:space="preserve"> В то же время, несмотря на рост численности обучающихся в общеобразовательных учреждениях района, за рассматриваемый период отмечается сокращение числа зар</w:t>
      </w:r>
      <w:r w:rsidR="008C668E">
        <w:t>егистрированных участников ЕГЭ.</w:t>
      </w:r>
    </w:p>
    <w:p w14:paraId="7306B95F" w14:textId="77777777" w:rsidR="006F1D46" w:rsidRPr="00037DE3" w:rsidRDefault="006F1D46" w:rsidP="00A93D7F">
      <w:r w:rsidRPr="00037DE3">
        <w:t>В системе образования Нефтеюганского района большое внимание уделяется дополнительному образованию детей и подростков. В районе действуют 3 учреждения дополнительного образования:</w:t>
      </w:r>
    </w:p>
    <w:p w14:paraId="64027276" w14:textId="77777777" w:rsidR="006F1D46" w:rsidRPr="00037DE3" w:rsidRDefault="006F1D46" w:rsidP="00A93D7F">
      <w:pPr>
        <w:pStyle w:val="a0"/>
        <w:numPr>
          <w:ilvl w:val="0"/>
          <w:numId w:val="13"/>
        </w:numPr>
      </w:pPr>
      <w:r w:rsidRPr="00037DE3">
        <w:t>НРОБУ ДОД «Центр развития творчества детей и юношества» в гп.</w:t>
      </w:r>
      <w:r>
        <w:t xml:space="preserve"> </w:t>
      </w:r>
      <w:r w:rsidRPr="00037DE3">
        <w:t xml:space="preserve">Пойковский. Реализация дополнительных образовательных программ 6 направленностей: художественно-эстетической, культурологической, социально-педагогической, туристско-краеведческой, военно-патриотической, физкультурно-спортивной. </w:t>
      </w:r>
    </w:p>
    <w:p w14:paraId="4CEE09EF" w14:textId="77777777" w:rsidR="006F1D46" w:rsidRPr="00037DE3" w:rsidRDefault="006F1D46" w:rsidP="00A93D7F">
      <w:pPr>
        <w:pStyle w:val="a0"/>
        <w:numPr>
          <w:ilvl w:val="0"/>
          <w:numId w:val="13"/>
        </w:numPr>
      </w:pPr>
      <w:r w:rsidRPr="00037DE3">
        <w:t>ДЮСШ им.</w:t>
      </w:r>
      <w:r>
        <w:t xml:space="preserve"> </w:t>
      </w:r>
      <w:r w:rsidRPr="00037DE3">
        <w:t>А.Карпова. На базе ДЮСШ им.</w:t>
      </w:r>
      <w:r>
        <w:t xml:space="preserve"> </w:t>
      </w:r>
      <w:r w:rsidRPr="00037DE3">
        <w:t>Карпова ежегодно проводится международный шахматный турнир.</w:t>
      </w:r>
    </w:p>
    <w:p w14:paraId="62FFF355" w14:textId="77777777" w:rsidR="006F1D46" w:rsidRDefault="006F1D46" w:rsidP="00A93D7F">
      <w:pPr>
        <w:pStyle w:val="a0"/>
        <w:numPr>
          <w:ilvl w:val="0"/>
          <w:numId w:val="13"/>
        </w:numPr>
      </w:pPr>
      <w:r w:rsidRPr="00037DE3">
        <w:t xml:space="preserve">НРМОАУ ДОД «Центр компьютерных технологий». Главная цель центра заключается во включении подростков в социально значимые проекты, приобщении их к использованию различных информационных ресурсов, а также воспитании активных участников общественной жизни Нефтеюганского района.  </w:t>
      </w:r>
    </w:p>
    <w:p w14:paraId="1026F819" w14:textId="77777777" w:rsidR="006F1D46" w:rsidRPr="006D64F8" w:rsidRDefault="006F1D46" w:rsidP="00A93D7F">
      <w:r>
        <w:t xml:space="preserve">С целью обеспечения доступности качественного образования </w:t>
      </w:r>
      <w:r w:rsidRPr="00E96F85">
        <w:t>для каждог</w:t>
      </w:r>
      <w:r>
        <w:t>о жителя Нефтеюганского района и п</w:t>
      </w:r>
      <w:r w:rsidRPr="00E96F85">
        <w:t>овышени</w:t>
      </w:r>
      <w:r>
        <w:t>я</w:t>
      </w:r>
      <w:r w:rsidRPr="00E96F85">
        <w:t xml:space="preserve"> эффективности реализации молодежной политики в интересах социально-экономического развития </w:t>
      </w:r>
      <w:r>
        <w:t xml:space="preserve">была утверждена муниципальная программа </w:t>
      </w:r>
      <w:r w:rsidRPr="00BE4CF8">
        <w:t>«Образование 21 века на 2017-2020 годы»</w:t>
      </w:r>
      <w:r>
        <w:t xml:space="preserve">. Основными целями программы являются </w:t>
      </w:r>
      <w:r w:rsidRPr="006D64F8">
        <w:t>обеспечение доступности качественного образования для каждо</w:t>
      </w:r>
      <w:r>
        <w:t xml:space="preserve">го жителя Нефтеюганского района и </w:t>
      </w:r>
      <w:r w:rsidRPr="006D64F8">
        <w:t>повышение эффективности реализации молодежной политики.</w:t>
      </w:r>
    </w:p>
    <w:p w14:paraId="42087FFE" w14:textId="77777777" w:rsidR="006F1D46" w:rsidRDefault="006F1D46" w:rsidP="00A93D7F">
      <w:r w:rsidRPr="006D64F8">
        <w:t xml:space="preserve">За </w:t>
      </w:r>
      <w:r>
        <w:t>2016 год</w:t>
      </w:r>
      <w:r w:rsidRPr="006D64F8">
        <w:t xml:space="preserve"> оценка степени достижения целевых показателей проведена по 25 показателям (15 показателям непосредственных результатов и по 10 показателям конечных результатов)</w:t>
      </w:r>
      <w:r>
        <w:t>, из них</w:t>
      </w:r>
      <w:r w:rsidRPr="006D64F8">
        <w:t xml:space="preserve"> достигнуто запланированное годовое значение по 23 показателям; достигнуто от годового значения свыше 100% по 2 показателям</w:t>
      </w:r>
      <w:r>
        <w:t xml:space="preserve"> (</w:t>
      </w:r>
      <w:r w:rsidRPr="002A34E0">
        <w:t>Количество молодых людей 14-18 лет, трудоустроенных за счет создания временных рабочих мест</w:t>
      </w:r>
      <w:r>
        <w:t xml:space="preserve"> и </w:t>
      </w:r>
      <w:r w:rsidRPr="002A34E0">
        <w:t>Отношение среднего балла единого государственного экзамена (в расчете на 1 предмет)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1 предмет) в 10 процентах общеобразовательных организаций с худшими результатами единого государственного экзамена</w:t>
      </w:r>
      <w:r>
        <w:t>)</w:t>
      </w:r>
      <w:r w:rsidRPr="006D64F8">
        <w:t>.</w:t>
      </w:r>
    </w:p>
    <w:p w14:paraId="45F03C35" w14:textId="77777777" w:rsidR="00E21604" w:rsidRDefault="00E21604" w:rsidP="00A93D7F"/>
    <w:p w14:paraId="65A2AA92" w14:textId="68455790" w:rsidR="00E21604" w:rsidRPr="003C737B" w:rsidRDefault="00E21604" w:rsidP="00A93D7F">
      <w:pPr>
        <w:rPr>
          <w:i/>
        </w:rPr>
      </w:pPr>
      <w:r w:rsidRPr="003C737B">
        <w:rPr>
          <w:i/>
        </w:rPr>
        <w:t>Развитие культуры</w:t>
      </w:r>
    </w:p>
    <w:p w14:paraId="4F540B03" w14:textId="77777777" w:rsidR="00873EA5" w:rsidRDefault="00E21604" w:rsidP="00A93D7F">
      <w:r w:rsidRPr="008F4283">
        <w:t>На территории Нефтеюганского района действуют 5 учреждений культуры и дополнительног</w:t>
      </w:r>
      <w:r>
        <w:t>о образования в сфере культуры:</w:t>
      </w:r>
    </w:p>
    <w:p w14:paraId="69F7F132" w14:textId="6A8AA6CB" w:rsidR="00873EA5" w:rsidRDefault="00E21604" w:rsidP="00A93D7F">
      <w:pPr>
        <w:pStyle w:val="a0"/>
        <w:numPr>
          <w:ilvl w:val="0"/>
          <w:numId w:val="50"/>
        </w:numPr>
      </w:pPr>
      <w:r w:rsidRPr="008F4283">
        <w:t>2 учреждения культурно-досугового типа – НРБУ ТО «Культура» (в структуру которого входят 9 обособленных подразделений расположенных в поселениях Лемпино, Каркатеевы, Усть-Юган, Юганская Обь, Сентябрьский, Куть-Ях, Салым, Сингапай, Чеускино) и МБУ г.п. Пойковский Це</w:t>
      </w:r>
      <w:r w:rsidR="00873EA5">
        <w:t>нтр Культуры и Досуга «Родники»;</w:t>
      </w:r>
      <w:r>
        <w:t xml:space="preserve"> </w:t>
      </w:r>
    </w:p>
    <w:p w14:paraId="0B95CA2B" w14:textId="77777777" w:rsidR="00873EA5" w:rsidRDefault="00E21604" w:rsidP="00A93D7F">
      <w:pPr>
        <w:pStyle w:val="a0"/>
        <w:numPr>
          <w:ilvl w:val="0"/>
          <w:numId w:val="50"/>
        </w:numPr>
      </w:pPr>
      <w:r w:rsidRPr="008F4283">
        <w:t xml:space="preserve">2 бюджетных учреждения дополнительного образования (НРМБУ ДО «ДМШ» г.п. Пойковский, НРМБУ ДО «ДШИ им. Г.С. Райшева </w:t>
      </w:r>
      <w:r>
        <w:pgNum/>
      </w:r>
      <w:r>
        <w:t>П</w:t>
      </w:r>
      <w:r w:rsidR="00873EA5">
        <w:t>. Салым);</w:t>
      </w:r>
    </w:p>
    <w:p w14:paraId="4FD2CC58" w14:textId="0C798D05" w:rsidR="00E21604" w:rsidRPr="008F4283" w:rsidRDefault="00E21604" w:rsidP="00A93D7F">
      <w:pPr>
        <w:pStyle w:val="a0"/>
        <w:numPr>
          <w:ilvl w:val="0"/>
          <w:numId w:val="50"/>
        </w:numPr>
      </w:pPr>
      <w:r w:rsidRPr="008F4283">
        <w:lastRenderedPageBreak/>
        <w:t>1 Межпоселенческая библиотека, включающая в свою струк</w:t>
      </w:r>
      <w:r>
        <w:t>туру 13 поселенческих библиотек</w:t>
      </w:r>
      <w:r w:rsidRPr="008F4283">
        <w:t xml:space="preserve"> (полномочия по библиотечному обслуживанию, обеспечению сохранности и комплектованию библиотечного фонда переданы городским и сельскими поселениями на уровень муниципального района).</w:t>
      </w:r>
    </w:p>
    <w:p w14:paraId="6BE0F5F1" w14:textId="3130153A" w:rsidR="00E21604" w:rsidRPr="008F4283" w:rsidRDefault="00E21604" w:rsidP="00A93D7F">
      <w:r>
        <w:t>Начиная с 2013 года, наблюдается значительное сокращение числа работников учреждений культурно-досугового типа (сокращение в 2016 г. на 60% по к 2013 г.), при этом ч</w:t>
      </w:r>
      <w:r w:rsidRPr="002B4F1E">
        <w:t>исленность работников библиотек</w:t>
      </w:r>
      <w:r>
        <w:t xml:space="preserve">, работников и преподавателей </w:t>
      </w:r>
      <w:r w:rsidRPr="002B4F1E">
        <w:t>детских музыкальных, художественных, хореографических школ и школ искусств</w:t>
      </w:r>
      <w:r>
        <w:t xml:space="preserve"> является на стабильном уровне.</w:t>
      </w:r>
    </w:p>
    <w:p w14:paraId="30481F6E" w14:textId="77777777" w:rsidR="00E21604" w:rsidRDefault="00E21604" w:rsidP="00A93D7F">
      <w:r>
        <w:t>С целью сохранения</w:t>
      </w:r>
      <w:r w:rsidRPr="00C332CB">
        <w:t xml:space="preserve"> и популяризаци</w:t>
      </w:r>
      <w:r>
        <w:t>и</w:t>
      </w:r>
      <w:r w:rsidRPr="00C332CB">
        <w:t xml:space="preserve"> культурного потенциала</w:t>
      </w:r>
      <w:r>
        <w:t xml:space="preserve"> и </w:t>
      </w:r>
      <w:r w:rsidRPr="00C332CB">
        <w:t>повышени</w:t>
      </w:r>
      <w:r>
        <w:t>я качества предоставляемых</w:t>
      </w:r>
      <w:r w:rsidRPr="00C332CB">
        <w:t xml:space="preserve"> услуг в сфер</w:t>
      </w:r>
      <w:r>
        <w:t xml:space="preserve">е культуры в Нефтеюганском районе утверждена программа </w:t>
      </w:r>
      <w:r w:rsidRPr="008B123D">
        <w:t>«Развитие культуры Нефтеюган</w:t>
      </w:r>
      <w:r>
        <w:t xml:space="preserve">ского района на 2014-2020 годы». </w:t>
      </w:r>
      <w:r w:rsidRPr="002A34E0">
        <w:t xml:space="preserve">Всего </w:t>
      </w:r>
      <w:r>
        <w:t xml:space="preserve">в рамках программы </w:t>
      </w:r>
      <w:r w:rsidRPr="002A34E0">
        <w:t>предусмотрено 14 показателей непосред</w:t>
      </w:r>
      <w:r>
        <w:t>ственных и конечных результатов,</w:t>
      </w:r>
      <w:r w:rsidRPr="002A34E0">
        <w:t xml:space="preserve"> 6 из </w:t>
      </w:r>
      <w:r>
        <w:t>них</w:t>
      </w:r>
      <w:r w:rsidRPr="002A34E0">
        <w:t xml:space="preserve"> сформированы в соответствии с показате</w:t>
      </w:r>
      <w:r>
        <w:t>лями государственной программы «</w:t>
      </w:r>
      <w:r w:rsidRPr="002A34E0">
        <w:t>Развитие культуры и туризма в Ханты-Мансийском автономном округе – Югре на 2014–2020 г</w:t>
      </w:r>
      <w:r>
        <w:t xml:space="preserve">оды». </w:t>
      </w:r>
      <w:r w:rsidRPr="002A34E0">
        <w:t>Из 7 показателей непосредственных результатов в запланированном объеме выполнен</w:t>
      </w:r>
      <w:r>
        <w:t xml:space="preserve"> </w:t>
      </w:r>
      <w:r w:rsidRPr="002A34E0">
        <w:t>1 показатель, 6 показателей перевыполнено.</w:t>
      </w:r>
      <w:r>
        <w:t xml:space="preserve"> </w:t>
      </w:r>
      <w:r w:rsidRPr="002A34E0">
        <w:t xml:space="preserve">Из 7 показателей конечных результатов в запланированном объеме </w:t>
      </w:r>
      <w:r>
        <w:t xml:space="preserve">выполнен </w:t>
      </w:r>
      <w:r w:rsidRPr="002A34E0">
        <w:t>1 показатель, перевыполнено 6 показателей.</w:t>
      </w:r>
      <w:r>
        <w:t xml:space="preserve"> </w:t>
      </w:r>
      <w:r w:rsidRPr="002A34E0">
        <w:t>Оценка эффективности муниципальной программы за 2016 год сост</w:t>
      </w:r>
      <w:r>
        <w:t>авила 14 баллов, в связи с чем признается</w:t>
      </w:r>
      <w:r w:rsidRPr="002A34E0">
        <w:t xml:space="preserve"> высоко результативной.</w:t>
      </w:r>
    </w:p>
    <w:p w14:paraId="59EA829F" w14:textId="77777777" w:rsidR="00E21604" w:rsidRDefault="00E21604" w:rsidP="00A93D7F"/>
    <w:p w14:paraId="14A1E86E" w14:textId="77777777" w:rsidR="00E21604" w:rsidRPr="003C737B" w:rsidRDefault="00E21604" w:rsidP="00A93D7F">
      <w:pPr>
        <w:rPr>
          <w:i/>
        </w:rPr>
      </w:pPr>
      <w:r w:rsidRPr="003C737B">
        <w:rPr>
          <w:i/>
        </w:rPr>
        <w:t>Развитие системы физической культуры и спорта</w:t>
      </w:r>
    </w:p>
    <w:p w14:paraId="225E6F32" w14:textId="77777777" w:rsidR="00E21604" w:rsidRDefault="00E21604" w:rsidP="00A93D7F">
      <w:r w:rsidRPr="00A97F48">
        <w:t>На территории Нефтеюганского района нах</w:t>
      </w:r>
      <w:r>
        <w:t>одятся 97 спортивных сооружений:</w:t>
      </w:r>
    </w:p>
    <w:p w14:paraId="1BDCA396" w14:textId="77777777" w:rsidR="00E21604" w:rsidRDefault="00E21604" w:rsidP="00A93D7F">
      <w:pPr>
        <w:pStyle w:val="a0"/>
        <w:numPr>
          <w:ilvl w:val="0"/>
          <w:numId w:val="14"/>
        </w:numPr>
      </w:pPr>
      <w:r w:rsidRPr="00A97F48">
        <w:t>25 спортивных игровых залов</w:t>
      </w:r>
      <w:r>
        <w:t>;</w:t>
      </w:r>
    </w:p>
    <w:p w14:paraId="7A7C83D6" w14:textId="77777777" w:rsidR="00E21604" w:rsidRDefault="00E21604" w:rsidP="00A93D7F">
      <w:pPr>
        <w:pStyle w:val="a0"/>
        <w:numPr>
          <w:ilvl w:val="0"/>
          <w:numId w:val="14"/>
        </w:numPr>
      </w:pPr>
      <w:r w:rsidRPr="00A97F48">
        <w:t>5 лыжных баз</w:t>
      </w:r>
      <w:r>
        <w:t>;</w:t>
      </w:r>
    </w:p>
    <w:p w14:paraId="15DA9A7C" w14:textId="77777777" w:rsidR="00E21604" w:rsidRDefault="00E21604" w:rsidP="00A93D7F">
      <w:pPr>
        <w:pStyle w:val="a0"/>
        <w:numPr>
          <w:ilvl w:val="0"/>
          <w:numId w:val="14"/>
        </w:numPr>
      </w:pPr>
      <w:r w:rsidRPr="00A97F48">
        <w:t>23 плоскостных сооружени</w:t>
      </w:r>
      <w:r>
        <w:t xml:space="preserve">я (включая </w:t>
      </w:r>
      <w:r w:rsidRPr="00A97F48">
        <w:t>3 футбольных поля, 1 плавательный бассейн, 1 объект с искусственным льдом</w:t>
      </w:r>
      <w:r>
        <w:t>);</w:t>
      </w:r>
    </w:p>
    <w:p w14:paraId="7E6556B1" w14:textId="77777777" w:rsidR="00E21604" w:rsidRDefault="00E21604" w:rsidP="00A93D7F">
      <w:pPr>
        <w:pStyle w:val="a0"/>
        <w:numPr>
          <w:ilvl w:val="0"/>
          <w:numId w:val="14"/>
        </w:numPr>
      </w:pPr>
      <w:r w:rsidRPr="00A97F48">
        <w:t>43 спортивных сооружени</w:t>
      </w:r>
      <w:r>
        <w:t>я</w:t>
      </w:r>
      <w:r w:rsidRPr="00A97F48">
        <w:t xml:space="preserve"> являются не стандартными спортивными сооружениями, на базе которых проводятся занятия общей физической подготовки, из них 3 объекта находятся в учреждениях, подведомственных Департаменту по управлению госуд</w:t>
      </w:r>
      <w:r>
        <w:t>арственным имуществом ХМАО-Югры;</w:t>
      </w:r>
    </w:p>
    <w:p w14:paraId="10BBC7BA" w14:textId="77777777" w:rsidR="00E21604" w:rsidRDefault="00E21604" w:rsidP="00A93D7F">
      <w:pPr>
        <w:pStyle w:val="a0"/>
        <w:numPr>
          <w:ilvl w:val="0"/>
          <w:numId w:val="14"/>
        </w:numPr>
      </w:pPr>
      <w:r w:rsidRPr="00A97F48">
        <w:t xml:space="preserve">1 спортивный объект ООО «Газпром трансгаз». </w:t>
      </w:r>
    </w:p>
    <w:p w14:paraId="0EE9F521" w14:textId="1F85F2DA" w:rsidR="00E21604" w:rsidRDefault="00E21604" w:rsidP="00A93D7F">
      <w:r w:rsidRPr="00A97F48">
        <w:t>Штат работников</w:t>
      </w:r>
      <w:r>
        <w:t>,</w:t>
      </w:r>
      <w:r w:rsidRPr="00A97F48">
        <w:t xml:space="preserve"> задействованных в работе на всех спортивных сооружениях</w:t>
      </w:r>
      <w:r>
        <w:t xml:space="preserve">, составляет 137 человек, в том числе </w:t>
      </w:r>
      <w:r w:rsidRPr="00A97F48">
        <w:t>16 инструкторов дошкольных обра</w:t>
      </w:r>
      <w:r>
        <w:t xml:space="preserve">зовательных учреждений, </w:t>
      </w:r>
      <w:r w:rsidRPr="00A97F48">
        <w:t>36 учителей физической культуры образовательных учреждений</w:t>
      </w:r>
      <w:r>
        <w:t xml:space="preserve">, </w:t>
      </w:r>
      <w:r w:rsidRPr="00A97F48">
        <w:t>78 тренеров-преподавателей, тренеров, инструкторов-методистов, педагогов дополнительного образования, инструкторов по спорту и в то</w:t>
      </w:r>
      <w:r w:rsidR="00952A09">
        <w:t>м числе один</w:t>
      </w:r>
      <w:r>
        <w:t xml:space="preserve"> инструктор-спортсмен и </w:t>
      </w:r>
      <w:r w:rsidR="00952A09">
        <w:t>7 </w:t>
      </w:r>
      <w:r>
        <w:t>сотрудников органов</w:t>
      </w:r>
      <w:r w:rsidRPr="00A97F48">
        <w:t xml:space="preserve"> управления </w:t>
      </w:r>
      <w:r>
        <w:t>сферы физической культуры и спорта.</w:t>
      </w:r>
    </w:p>
    <w:p w14:paraId="406D9C33" w14:textId="77777777" w:rsidR="00E21604" w:rsidRDefault="00E21604" w:rsidP="00A93D7F">
      <w:r w:rsidRPr="00A97F48">
        <w:t xml:space="preserve">На территории Нефтеюганского района осуществляют деятельность в сфере физической культуры и спорта </w:t>
      </w:r>
      <w:r>
        <w:t>4</w:t>
      </w:r>
      <w:r w:rsidRPr="00A97F48">
        <w:t xml:space="preserve"> спор</w:t>
      </w:r>
      <w:r>
        <w:t>тивные общественные организации:</w:t>
      </w:r>
    </w:p>
    <w:p w14:paraId="480E269F" w14:textId="77777777" w:rsidR="00E21604" w:rsidRDefault="00E21604" w:rsidP="003C737B">
      <w:pPr>
        <w:pStyle w:val="a0"/>
        <w:numPr>
          <w:ilvl w:val="0"/>
          <w:numId w:val="15"/>
        </w:numPr>
        <w:ind w:left="1560" w:hanging="426"/>
      </w:pPr>
      <w:r w:rsidRPr="00A97F48">
        <w:t xml:space="preserve">региональная общественная организация </w:t>
      </w:r>
      <w:r>
        <w:t>«</w:t>
      </w:r>
      <w:r w:rsidRPr="00A97F48">
        <w:t>Федерация вольной борьбы Ханты-Мансийск</w:t>
      </w:r>
      <w:r>
        <w:t>ого автономного округа – Югры»;</w:t>
      </w:r>
    </w:p>
    <w:p w14:paraId="61EC7049" w14:textId="77777777" w:rsidR="00E21604" w:rsidRDefault="00E21604" w:rsidP="003C737B">
      <w:pPr>
        <w:pStyle w:val="a0"/>
        <w:numPr>
          <w:ilvl w:val="0"/>
          <w:numId w:val="15"/>
        </w:numPr>
        <w:ind w:left="1560" w:hanging="426"/>
      </w:pPr>
      <w:r w:rsidRPr="00A97F48">
        <w:t xml:space="preserve">региональная общественная организация </w:t>
      </w:r>
      <w:r>
        <w:t>«</w:t>
      </w:r>
      <w:r w:rsidRPr="00A97F48">
        <w:t>Федерация бильярдного спорта Ханты-Мансийск</w:t>
      </w:r>
      <w:r>
        <w:t>ого автономного округа – Югры»;</w:t>
      </w:r>
    </w:p>
    <w:p w14:paraId="469C8825" w14:textId="77777777" w:rsidR="00E21604" w:rsidRDefault="00E21604" w:rsidP="003C737B">
      <w:pPr>
        <w:pStyle w:val="a0"/>
        <w:numPr>
          <w:ilvl w:val="0"/>
          <w:numId w:val="15"/>
        </w:numPr>
        <w:ind w:left="1560" w:hanging="426"/>
      </w:pPr>
      <w:r w:rsidRPr="00A97F48">
        <w:t xml:space="preserve">общественная организация </w:t>
      </w:r>
      <w:r>
        <w:t>«</w:t>
      </w:r>
      <w:r w:rsidRPr="00A97F48">
        <w:t>Федерация лыжных гонок Нефтеюганского района</w:t>
      </w:r>
      <w:r>
        <w:t>»;</w:t>
      </w:r>
    </w:p>
    <w:p w14:paraId="7E1FD54B" w14:textId="77777777" w:rsidR="00E21604" w:rsidRDefault="00E21604" w:rsidP="003C737B">
      <w:pPr>
        <w:pStyle w:val="a0"/>
        <w:numPr>
          <w:ilvl w:val="0"/>
          <w:numId w:val="15"/>
        </w:numPr>
        <w:ind w:left="1560" w:hanging="426"/>
      </w:pPr>
      <w:r w:rsidRPr="00A97F48">
        <w:t xml:space="preserve">спортивный клуб тхэквондо </w:t>
      </w:r>
      <w:r>
        <w:t>«</w:t>
      </w:r>
      <w:r w:rsidRPr="00A97F48">
        <w:t>Берсек</w:t>
      </w:r>
      <w:r>
        <w:t>»</w:t>
      </w:r>
      <w:r w:rsidRPr="00A97F48">
        <w:t>.</w:t>
      </w:r>
    </w:p>
    <w:p w14:paraId="24634CDB" w14:textId="1CAB2D7C" w:rsidR="00E21604" w:rsidRPr="009C7BFA" w:rsidRDefault="00E21604" w:rsidP="00A93D7F">
      <w:r>
        <w:t xml:space="preserve">Обеспеченность населения объектами физической культуры и спорта оценивается как достаточная. За последние 6 лет наблюдается постоянный рост удельного веса </w:t>
      </w:r>
      <w:r>
        <w:lastRenderedPageBreak/>
        <w:t>населения, систематически занимающегося физической культурой и спортом, а также рост числа спортивных сооружений, спортивных залов, обеспеченности объектами физической культуры и спорта. В 2016 году наблюдается резкий спад ч</w:t>
      </w:r>
      <w:r w:rsidRPr="005F5532">
        <w:t>исленност</w:t>
      </w:r>
      <w:r>
        <w:t>и</w:t>
      </w:r>
      <w:r w:rsidRPr="005F5532">
        <w:t xml:space="preserve"> занимающихся в детско-юношеских спортивных школах</w:t>
      </w:r>
      <w:r>
        <w:t xml:space="preserve"> (спад по сравнению с 2015 годом примерно на 18.3%)</w:t>
      </w:r>
    </w:p>
    <w:p w14:paraId="108827DB" w14:textId="77777777" w:rsidR="00E21604" w:rsidRDefault="00E21604" w:rsidP="00A93D7F">
      <w:r w:rsidRPr="00222BDB">
        <w:t xml:space="preserve">С целью </w:t>
      </w:r>
      <w:r>
        <w:t>развития</w:t>
      </w:r>
      <w:r w:rsidRPr="00222BDB">
        <w:t xml:space="preserve"> массовой физической культуры и детско-юношеского спорта в Нефтеюганском районе утверждена муниципальная программа «Развитие физической культуры и спорта Нефтеюган</w:t>
      </w:r>
      <w:r>
        <w:t>ского района на 2014-2020 годы». Все</w:t>
      </w:r>
      <w:r w:rsidRPr="009218D2">
        <w:t xml:space="preserve"> 10 показателей непосредственных и конечных результатов программы сформированы в соответствии с показате</w:t>
      </w:r>
      <w:r>
        <w:t>лями государственной программы «</w:t>
      </w:r>
      <w:r w:rsidRPr="009218D2">
        <w:t>Развитие физической культуры и спорт</w:t>
      </w:r>
      <w:r>
        <w:t>а</w:t>
      </w:r>
      <w:r w:rsidRPr="009218D2">
        <w:t xml:space="preserve"> в Ханты-Мансийском автономном </w:t>
      </w:r>
      <w:r>
        <w:t xml:space="preserve">округе – Югре на 2014–2020 годы». </w:t>
      </w:r>
      <w:r w:rsidRPr="005769B2">
        <w:t>По результатам итоговой сводной оценки эффективности целевых показателей, реализация программы признается высоко результативной и равна 8 баллам из 10 возможных.</w:t>
      </w:r>
      <w:r>
        <w:t xml:space="preserve"> Плановое значение</w:t>
      </w:r>
      <w:r w:rsidRPr="005769B2">
        <w:t xml:space="preserve"> не достигнуто по </w:t>
      </w:r>
      <w:r>
        <w:t>показателям доли</w:t>
      </w:r>
      <w:r w:rsidRPr="005769B2">
        <w:t xml:space="preserve"> граждан, выполнивших нормативы Всероссийского физк</w:t>
      </w:r>
      <w:r>
        <w:t>ультурно-спортивного комплекса «Готов к труду и обороне»</w:t>
      </w:r>
      <w:r w:rsidRPr="005769B2">
        <w:t>, в общей численности населения, принявшего участие</w:t>
      </w:r>
      <w:r>
        <w:t xml:space="preserve"> в сдаче нормативов, а также количества </w:t>
      </w:r>
      <w:r w:rsidRPr="005769B2">
        <w:t>детей, подростков и юношей, з</w:t>
      </w:r>
      <w:r>
        <w:t xml:space="preserve">анимающихся в детско-юношеских </w:t>
      </w:r>
      <w:r w:rsidRPr="005769B2">
        <w:t>спортивных школах</w:t>
      </w:r>
      <w:r>
        <w:t>.</w:t>
      </w:r>
    </w:p>
    <w:p w14:paraId="526DBC2C" w14:textId="77777777" w:rsidR="00E21604" w:rsidRDefault="00E21604" w:rsidP="00A93D7F"/>
    <w:p w14:paraId="56D8C5FD" w14:textId="77777777" w:rsidR="00E21604" w:rsidRPr="00952A09" w:rsidRDefault="00E21604" w:rsidP="00A93D7F">
      <w:pPr>
        <w:rPr>
          <w:i/>
        </w:rPr>
      </w:pPr>
      <w:r w:rsidRPr="00952A09">
        <w:rPr>
          <w:i/>
        </w:rPr>
        <w:t>Социальная поддержка населения</w:t>
      </w:r>
    </w:p>
    <w:p w14:paraId="55306B3A" w14:textId="77777777" w:rsidR="00E21604" w:rsidRPr="0076677D" w:rsidRDefault="00E21604" w:rsidP="00A93D7F">
      <w:r w:rsidRPr="0076677D">
        <w:t>Социальная поддержка граждан представляет собой систему правовых, экономических, организационных и иных мер, гарантированных государством. Категории граждан – получателей социальной поддержки, меры социальной поддержки и условия ее предоставления определены законодательством Российской Федерации, законодательством Ханты-Мансийского автономного округа.</w:t>
      </w:r>
    </w:p>
    <w:p w14:paraId="3D8E74A0" w14:textId="77777777" w:rsidR="00E21604" w:rsidRPr="0076677D" w:rsidRDefault="00E21604" w:rsidP="00A93D7F">
      <w:r w:rsidRPr="0076677D">
        <w:t xml:space="preserve">Организация отдыха и оздоровления детей в Нефтеюганском районе </w:t>
      </w:r>
      <w:r>
        <w:t>является</w:t>
      </w:r>
      <w:r w:rsidRPr="0076677D">
        <w:t xml:space="preserve"> как </w:t>
      </w:r>
      <w:r>
        <w:t>одним</w:t>
      </w:r>
      <w:r w:rsidRPr="0076677D">
        <w:t xml:space="preserve"> из основных н</w:t>
      </w:r>
      <w:r>
        <w:t xml:space="preserve">аправлений социальной политики </w:t>
      </w:r>
      <w:r w:rsidRPr="0076677D">
        <w:t xml:space="preserve">в отношении детей. Ежегодно организуется отдых и оздоровление детей Нефтеюганского района, в том числе детей-сирот, детей, оставшихся без попечения родителей, детей из многодетных и малообеспеченных семей. Основным показателем итогов оздоровительной кампании является показатель оздоровительного эффекта. </w:t>
      </w:r>
    </w:p>
    <w:p w14:paraId="1D1CEED3" w14:textId="77777777" w:rsidR="00E21604" w:rsidRPr="0076677D" w:rsidRDefault="00E21604" w:rsidP="00A93D7F">
      <w:r w:rsidRPr="0076677D">
        <w:t xml:space="preserve"> Обеспечение государственных гарантий и мер социальной поддержки для детей-сирот и детей, оставшихся без попечения родителей, и граждан, принявших детей на воспитание в свои семьи, пропаганда семейных форм устройства детей-сирот, разработка системы подбора, подготовки и сопровождения замещающих родителей позволили увеличить число детей, устроенных в семьи.</w:t>
      </w:r>
    </w:p>
    <w:p w14:paraId="7A02E02D" w14:textId="77777777" w:rsidR="00E21604" w:rsidRPr="0076677D" w:rsidRDefault="00E21604" w:rsidP="00A93D7F">
      <w:r w:rsidRPr="0076677D">
        <w:t xml:space="preserve"> На учете в отделе по опеке и попечительству администрации Нефтеюганского района на 01.01.2016 </w:t>
      </w:r>
      <w:r>
        <w:t>г.</w:t>
      </w:r>
      <w:r w:rsidRPr="0076677D">
        <w:t xml:space="preserve"> состояло 202 ребенка </w:t>
      </w:r>
      <w:r>
        <w:t xml:space="preserve">(в </w:t>
      </w:r>
      <w:r w:rsidRPr="0076677D">
        <w:t>2014</w:t>
      </w:r>
      <w:r>
        <w:t xml:space="preserve"> г. – 186 детей) из них </w:t>
      </w:r>
      <w:r w:rsidRPr="0076677D">
        <w:t>77 дет</w:t>
      </w:r>
      <w:r>
        <w:t xml:space="preserve">ей проживают в приёмных семьях, </w:t>
      </w:r>
      <w:r w:rsidRPr="0076677D">
        <w:t xml:space="preserve">56 </w:t>
      </w:r>
      <w:r>
        <w:t>– находятся</w:t>
      </w:r>
      <w:r w:rsidRPr="0076677D">
        <w:t xml:space="preserve"> </w:t>
      </w:r>
      <w:r>
        <w:t>под опекой,</w:t>
      </w:r>
      <w:r w:rsidRPr="0076677D">
        <w:t xml:space="preserve"> 4 </w:t>
      </w:r>
      <w:r>
        <w:t xml:space="preserve">– под предварительной опекой, </w:t>
      </w:r>
      <w:r w:rsidRPr="0076677D">
        <w:t>над 5 дет</w:t>
      </w:r>
      <w:r>
        <w:t xml:space="preserve">ьми оформлена опека по согласию, </w:t>
      </w:r>
      <w:r w:rsidRPr="0076677D">
        <w:t xml:space="preserve">61 </w:t>
      </w:r>
      <w:r>
        <w:t>– усыновлено</w:t>
      </w:r>
      <w:r w:rsidRPr="0076677D">
        <w:t>.</w:t>
      </w:r>
      <w:r>
        <w:t xml:space="preserve"> </w:t>
      </w:r>
      <w:r w:rsidRPr="0076677D">
        <w:t xml:space="preserve">Всего в 2015 </w:t>
      </w:r>
      <w:r>
        <w:t>г.</w:t>
      </w:r>
      <w:r w:rsidRPr="0076677D">
        <w:t xml:space="preserve"> переданы на воспитание в семьи граждан 34 ребенка, оставшихся без попечения родителей: под опеку 18 детей; на возмездной основе на условии создания приемной семьи 14 детей, оставшихся без попечения родителей, усыновлены в двухсто</w:t>
      </w:r>
      <w:r>
        <w:t>роннем порядке 2 детей.</w:t>
      </w:r>
    </w:p>
    <w:p w14:paraId="5B5F2225" w14:textId="77777777" w:rsidR="00E21604" w:rsidRPr="0076677D" w:rsidRDefault="00E21604" w:rsidP="00A93D7F">
      <w:r w:rsidRPr="0076677D">
        <w:t xml:space="preserve">Из 17 детей, оставшихся без попечения родителей на территории Нефтеюганского </w:t>
      </w:r>
      <w:r>
        <w:t xml:space="preserve">района, </w:t>
      </w:r>
      <w:r w:rsidRPr="0076677D">
        <w:t xml:space="preserve">все 17 детей устроены в семьи граждан. Для 11 детей найдена замещающая семья, под предварительную опеку передано 4 ребенка, оформлена опека по заявлению родителя над 2 детьми. </w:t>
      </w:r>
    </w:p>
    <w:p w14:paraId="6BADD2C2" w14:textId="77777777" w:rsidR="00E21604" w:rsidRDefault="00E21604" w:rsidP="00A93D7F">
      <w:r w:rsidRPr="0076677D">
        <w:t>В 2015 году выявлено и поставлено на учет 13 семей (20 детей), находящ</w:t>
      </w:r>
      <w:r>
        <w:t xml:space="preserve">ихся </w:t>
      </w:r>
      <w:r>
        <w:br/>
        <w:t>в социально-</w:t>
      </w:r>
      <w:r w:rsidRPr="0076677D">
        <w:t xml:space="preserve">опасном положении (в 2014 году </w:t>
      </w:r>
      <w:r>
        <w:t>– 31 семья, в том числе,</w:t>
      </w:r>
      <w:r w:rsidRPr="0076677D">
        <w:t xml:space="preserve"> 58 детей). В результате своевременно проведенной индивидуально</w:t>
      </w:r>
      <w:r>
        <w:t>й</w:t>
      </w:r>
      <w:r w:rsidRPr="0076677D">
        <w:t xml:space="preserve"> профилактической ра</w:t>
      </w:r>
      <w:r>
        <w:t xml:space="preserve">боты на </w:t>
      </w:r>
      <w:r>
        <w:lastRenderedPageBreak/>
        <w:t>ранней стадии выявления</w:t>
      </w:r>
      <w:r w:rsidRPr="0076677D">
        <w:t xml:space="preserve"> 29 семей (41 ребенок) сняты с учета. Общее число осуществленных рейдов в семьи указанной категории составило 213 выездов. </w:t>
      </w:r>
    </w:p>
    <w:p w14:paraId="54D9E470" w14:textId="77777777" w:rsidR="003665DD" w:rsidRDefault="003665DD" w:rsidP="00A93D7F">
      <w:r>
        <w:t>Социальная политика по улучшению жилищных условий населения включает в себя предоставление субсидий отдельным категориям граждан, помощь в приобретении жилых помещений, а также ликвидация ветхого и аварийного жилищного фонда. За период в 2014-2016 гг. на территории Нефтеюганского района были проведены следующие мероприятия:</w:t>
      </w:r>
    </w:p>
    <w:p w14:paraId="461D818A" w14:textId="77777777" w:rsidR="003665DD" w:rsidRPr="00D07170" w:rsidRDefault="003665DD" w:rsidP="00A93D7F">
      <w:pPr>
        <w:pStyle w:val="a0"/>
        <w:numPr>
          <w:ilvl w:val="0"/>
          <w:numId w:val="16"/>
        </w:numPr>
      </w:pPr>
      <w:r>
        <w:t>п</w:t>
      </w:r>
      <w:r w:rsidRPr="00D07170">
        <w:t>риобретено 611 жилых помещений, площадью более 30 тыс. кв. м.</w:t>
      </w:r>
      <w:r>
        <w:t>;</w:t>
      </w:r>
    </w:p>
    <w:p w14:paraId="74FF77B3" w14:textId="77777777" w:rsidR="003665DD" w:rsidRPr="00D07170" w:rsidRDefault="003665DD" w:rsidP="00A93D7F">
      <w:pPr>
        <w:pStyle w:val="a0"/>
        <w:numPr>
          <w:ilvl w:val="0"/>
          <w:numId w:val="16"/>
        </w:numPr>
      </w:pPr>
      <w:r>
        <w:t>п</w:t>
      </w:r>
      <w:r w:rsidRPr="00D07170">
        <w:t>редоставлено 40 субсидий отдельным категориям граждан</w:t>
      </w:r>
      <w:r>
        <w:t>;</w:t>
      </w:r>
    </w:p>
    <w:p w14:paraId="07A015CD" w14:textId="77777777" w:rsidR="003665DD" w:rsidRPr="00D07170" w:rsidRDefault="003665DD" w:rsidP="00A93D7F">
      <w:pPr>
        <w:pStyle w:val="a0"/>
        <w:numPr>
          <w:ilvl w:val="0"/>
          <w:numId w:val="16"/>
        </w:numPr>
      </w:pPr>
      <w:r w:rsidRPr="00D07170">
        <w:t>18 семей получили жилищные субсидии в связи с выез</w:t>
      </w:r>
      <w:r>
        <w:t>дом из районов Крайнего севера;</w:t>
      </w:r>
    </w:p>
    <w:p w14:paraId="2371120C" w14:textId="77777777" w:rsidR="003665DD" w:rsidRPr="00D07170" w:rsidRDefault="003665DD" w:rsidP="00A93D7F">
      <w:pPr>
        <w:pStyle w:val="a0"/>
        <w:numPr>
          <w:ilvl w:val="0"/>
          <w:numId w:val="16"/>
        </w:numPr>
      </w:pPr>
      <w:r>
        <w:t>п</w:t>
      </w:r>
      <w:r w:rsidRPr="00D07170">
        <w:t>риобретены 32 квартиры детям-сиротам и детям, ост</w:t>
      </w:r>
      <w:r>
        <w:t>авшимся без попечения родителей;</w:t>
      </w:r>
    </w:p>
    <w:p w14:paraId="43CE0F28" w14:textId="77777777" w:rsidR="003665DD" w:rsidRPr="00D07170" w:rsidRDefault="003665DD" w:rsidP="00A93D7F">
      <w:pPr>
        <w:pStyle w:val="a0"/>
        <w:numPr>
          <w:ilvl w:val="0"/>
          <w:numId w:val="16"/>
        </w:numPr>
      </w:pPr>
      <w:r>
        <w:t>д</w:t>
      </w:r>
      <w:r w:rsidRPr="00D07170">
        <w:t>ве семьи получили субсидию на улучшение жилищных условий по подпрограмме «Устойчивое развитие сельских территорий» государственной программы «Развитие агропромышленного комплекса и рынков сельскохозяйственной продукции, сырья и продовольствия в Ханты-Мансийском автономном о</w:t>
      </w:r>
      <w:r>
        <w:t>круге - Югре в 2014-2020 годах»;</w:t>
      </w:r>
    </w:p>
    <w:p w14:paraId="53283F3B" w14:textId="77777777" w:rsidR="003665DD" w:rsidRPr="00D07170" w:rsidRDefault="003665DD" w:rsidP="00A93D7F">
      <w:pPr>
        <w:pStyle w:val="a0"/>
        <w:numPr>
          <w:ilvl w:val="0"/>
          <w:numId w:val="16"/>
        </w:numPr>
      </w:pPr>
      <w:r w:rsidRPr="00D07170">
        <w:t>109 семьям выданы субсидии на расселение из приспособленных д</w:t>
      </w:r>
      <w:r>
        <w:t>ля проживания строений (балков);</w:t>
      </w:r>
    </w:p>
    <w:p w14:paraId="4A0EA222" w14:textId="77777777" w:rsidR="003665DD" w:rsidRDefault="003665DD" w:rsidP="00A93D7F">
      <w:pPr>
        <w:pStyle w:val="a0"/>
        <w:numPr>
          <w:ilvl w:val="0"/>
          <w:numId w:val="16"/>
        </w:numPr>
      </w:pPr>
      <w:r>
        <w:t>с</w:t>
      </w:r>
      <w:r w:rsidRPr="00D07170">
        <w:t>несено 12 аварийных многоквартирных домов и 107 приспособленных для проживания строений.</w:t>
      </w:r>
    </w:p>
    <w:p w14:paraId="2E6EDB2D" w14:textId="77777777" w:rsidR="003665DD" w:rsidRPr="00EF7B31" w:rsidRDefault="003665DD" w:rsidP="00A93D7F">
      <w:r>
        <w:t>В целях улучшения жилищных условий жителей Нефтеюганского района в настоящее время реализуется м</w:t>
      </w:r>
      <w:r w:rsidRPr="00F54EE6">
        <w:t>униципальная программа «</w:t>
      </w:r>
      <w:r w:rsidRPr="00F54EE6">
        <w:rPr>
          <w:bCs/>
        </w:rPr>
        <w:t>Обеспечение доступным и комфортным жильем жителей Нефтеюганского района в 2017 - 2020 годах»</w:t>
      </w:r>
      <w:r>
        <w:t xml:space="preserve">. Программа </w:t>
      </w:r>
      <w:r w:rsidRPr="00F54EE6">
        <w:t>содержит 13 показателей непосредственных результатов и 7 п</w:t>
      </w:r>
      <w:r>
        <w:t>оказателей конечных результатов, из них</w:t>
      </w:r>
      <w:r w:rsidRPr="00F54EE6">
        <w:t xml:space="preserve"> достигнуты план</w:t>
      </w:r>
      <w:r>
        <w:t>овые значения по 11 показателям</w:t>
      </w:r>
      <w:r w:rsidRPr="00F54EE6">
        <w:t xml:space="preserve"> </w:t>
      </w:r>
      <w:r>
        <w:t>(</w:t>
      </w:r>
      <w:r w:rsidRPr="00F54EE6">
        <w:t xml:space="preserve">по 4 показателям значения на </w:t>
      </w:r>
      <w:r>
        <w:t>2016 год не запланированы).</w:t>
      </w:r>
      <w:r w:rsidRPr="00F54EE6">
        <w:t xml:space="preserve"> </w:t>
      </w:r>
      <w:r w:rsidRPr="00EF7B31">
        <w:t>По результатам оценки эффективности за 2016 год м</w:t>
      </w:r>
      <w:r>
        <w:t>униципальная программа признана</w:t>
      </w:r>
      <w:r w:rsidRPr="00EF7B31">
        <w:t xml:space="preserve"> результативной (11 баллов). В целом запланированные показатели реализации программы достигнуты пропорционально фактическому финансированию. </w:t>
      </w:r>
    </w:p>
    <w:p w14:paraId="3C05BB38" w14:textId="77777777" w:rsidR="00CD14C4" w:rsidRDefault="00CD14C4" w:rsidP="00A93D7F"/>
    <w:p w14:paraId="41B77C82" w14:textId="41CAE04A" w:rsidR="00042475" w:rsidRPr="00952A09" w:rsidRDefault="00042475" w:rsidP="00952A09">
      <w:pPr>
        <w:jc w:val="center"/>
        <w:rPr>
          <w:b/>
        </w:rPr>
      </w:pPr>
      <w:r w:rsidRPr="00952A09">
        <w:rPr>
          <w:b/>
        </w:rPr>
        <w:t>Реальный сектор экономики</w:t>
      </w:r>
    </w:p>
    <w:p w14:paraId="3B334719" w14:textId="77777777" w:rsidR="008C668E" w:rsidRDefault="008C668E" w:rsidP="00A93D7F"/>
    <w:p w14:paraId="063269FB" w14:textId="77777777" w:rsidR="007C4D9F" w:rsidRPr="00952A09" w:rsidRDefault="007C4D9F" w:rsidP="00A93D7F">
      <w:pPr>
        <w:rPr>
          <w:i/>
        </w:rPr>
      </w:pPr>
      <w:r w:rsidRPr="00952A09">
        <w:rPr>
          <w:i/>
        </w:rPr>
        <w:t>Промышленное производство</w:t>
      </w:r>
    </w:p>
    <w:p w14:paraId="5718639A" w14:textId="77777777" w:rsidR="007C4D9F" w:rsidRDefault="007C4D9F" w:rsidP="00A93D7F">
      <w:r w:rsidRPr="003F4BA2">
        <w:t xml:space="preserve">Объем отгруженных товаров собственного производства, выполненных работ и услуг </w:t>
      </w:r>
      <w:r>
        <w:t>всеми секторами экономики района</w:t>
      </w:r>
      <w:r w:rsidRPr="003F4BA2">
        <w:t xml:space="preserve"> за 2016 </w:t>
      </w:r>
      <w:r>
        <w:t>г.</w:t>
      </w:r>
      <w:r w:rsidRPr="003F4BA2">
        <w:t xml:space="preserve"> составил 262 008,3</w:t>
      </w:r>
      <w:r>
        <w:t xml:space="preserve"> </w:t>
      </w:r>
      <w:r w:rsidRPr="003F4BA2">
        <w:t>млн.</w:t>
      </w:r>
      <w:r>
        <w:t xml:space="preserve"> </w:t>
      </w:r>
      <w:r w:rsidRPr="003F4BA2">
        <w:t xml:space="preserve">рублей (превышение планового </w:t>
      </w:r>
      <w:r>
        <w:t>показателя 2016 г. на 21,7%)</w:t>
      </w:r>
      <w:r w:rsidRPr="003F4BA2">
        <w:t>, что</w:t>
      </w:r>
      <w:r>
        <w:t xml:space="preserve"> </w:t>
      </w:r>
      <w:r w:rsidRPr="003F4BA2">
        <w:t>связано с ростом промышленного производства.</w:t>
      </w:r>
      <w:r>
        <w:t xml:space="preserve"> Промышленность составляет основу экономического потенциала Нефтеюганского района: н</w:t>
      </w:r>
      <w:r w:rsidRPr="006E32A4">
        <w:t xml:space="preserve">а долю </w:t>
      </w:r>
      <w:r>
        <w:t>промышленного производства</w:t>
      </w:r>
      <w:r w:rsidRPr="006E32A4">
        <w:t xml:space="preserve"> по итогам 2016 </w:t>
      </w:r>
      <w:r>
        <w:t>г.</w:t>
      </w:r>
      <w:r w:rsidRPr="006E32A4">
        <w:t xml:space="preserve"> приходится </w:t>
      </w:r>
      <w:r>
        <w:t>94</w:t>
      </w:r>
      <w:r w:rsidRPr="006E32A4">
        <w:t>% от объема отгруженных товаров, выполненных собственными силами работ и услуг</w:t>
      </w:r>
      <w:r>
        <w:t>.</w:t>
      </w:r>
    </w:p>
    <w:p w14:paraId="5DB1E53B" w14:textId="51BA595A" w:rsidR="007C4D9F" w:rsidRDefault="007C4D9F" w:rsidP="00A93D7F">
      <w:r w:rsidRPr="006E32A4">
        <w:t xml:space="preserve">Объем </w:t>
      </w:r>
      <w:r>
        <w:t>отгрузки</w:t>
      </w:r>
      <w:r w:rsidRPr="006E32A4">
        <w:t xml:space="preserve"> товаров собственного производства работ и услуг</w:t>
      </w:r>
      <w:r>
        <w:t>,</w:t>
      </w:r>
      <w:r w:rsidRPr="006E32A4">
        <w:t xml:space="preserve"> </w:t>
      </w:r>
      <w:r>
        <w:t xml:space="preserve">выполненных </w:t>
      </w:r>
      <w:r w:rsidRPr="006E32A4">
        <w:t>собственными силами</w:t>
      </w:r>
      <w:r>
        <w:t>,</w:t>
      </w:r>
      <w:r w:rsidRPr="006E32A4">
        <w:t xml:space="preserve"> по крупным и средним предприятиям </w:t>
      </w:r>
      <w:r>
        <w:t>промышленного сектора района в</w:t>
      </w:r>
      <w:r w:rsidRPr="006E32A4">
        <w:t xml:space="preserve"> 2016 </w:t>
      </w:r>
      <w:r>
        <w:t>г.</w:t>
      </w:r>
      <w:r w:rsidRPr="006E32A4">
        <w:t xml:space="preserve"> составил 249 854,83 млн. рублей,</w:t>
      </w:r>
      <w:r>
        <w:t xml:space="preserve"> (</w:t>
      </w:r>
      <w:r w:rsidRPr="006E32A4">
        <w:t xml:space="preserve">темп роста </w:t>
      </w:r>
      <w:r>
        <w:t xml:space="preserve">в </w:t>
      </w:r>
      <w:r w:rsidRPr="006E32A4">
        <w:t xml:space="preserve">действующих ценах к уровню 2015 </w:t>
      </w:r>
      <w:r>
        <w:t>г.</w:t>
      </w:r>
      <w:r w:rsidRPr="006E32A4">
        <w:t xml:space="preserve"> 113,3%</w:t>
      </w:r>
      <w:r>
        <w:t>) и это наивысшее значение показателя 2011 г</w:t>
      </w:r>
      <w:r w:rsidRPr="006E32A4">
        <w:t xml:space="preserve">. По итогам 2017 </w:t>
      </w:r>
      <w:r>
        <w:t>г.</w:t>
      </w:r>
      <w:r w:rsidRPr="006E32A4">
        <w:t xml:space="preserve"> </w:t>
      </w:r>
      <w:r>
        <w:t>объём отгрузки оценивается</w:t>
      </w:r>
      <w:r w:rsidRPr="006E32A4">
        <w:t xml:space="preserve"> </w:t>
      </w:r>
      <w:r>
        <w:t xml:space="preserve">на </w:t>
      </w:r>
      <w:r w:rsidRPr="006E32A4">
        <w:t xml:space="preserve">уровне </w:t>
      </w:r>
      <w:r w:rsidRPr="002141BF">
        <w:t>257676</w:t>
      </w:r>
      <w:r w:rsidRPr="006E32A4">
        <w:t xml:space="preserve"> млн. рублей, темп прироста к 2016 </w:t>
      </w:r>
      <w:r>
        <w:t>г.</w:t>
      </w:r>
      <w:r w:rsidRPr="006E32A4">
        <w:t xml:space="preserve"> 105,3%.</w:t>
      </w:r>
      <w:r>
        <w:t xml:space="preserve"> С 2011 г. рост отгрузки (в действующих </w:t>
      </w:r>
      <w:r w:rsidR="0010002F">
        <w:t xml:space="preserve">ценах) составил 257,67% (Рис. </w:t>
      </w:r>
      <w:r>
        <w:t>).</w:t>
      </w:r>
    </w:p>
    <w:p w14:paraId="774417BF" w14:textId="77777777" w:rsidR="000E0AB8" w:rsidRDefault="000E0AB8" w:rsidP="00A93D7F"/>
    <w:p w14:paraId="0CB403EB" w14:textId="288F3ED8" w:rsidR="007C4D9F" w:rsidRDefault="007C4D9F" w:rsidP="00A93D7F"/>
    <w:p w14:paraId="53E3FE40" w14:textId="425DFB5B" w:rsidR="00F27038" w:rsidRDefault="00F27038" w:rsidP="00A93D7F">
      <w:r w:rsidRPr="00F27038">
        <w:rPr>
          <w:noProof/>
        </w:rPr>
        <w:lastRenderedPageBreak/>
        <w:drawing>
          <wp:inline distT="0" distB="0" distL="0" distR="0" wp14:anchorId="2A80A9E0" wp14:editId="15CA9044">
            <wp:extent cx="5185557" cy="2290298"/>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070F08" w14:textId="77777777" w:rsidR="007C4D9F" w:rsidRPr="00952A09" w:rsidRDefault="007C4D9F" w:rsidP="00A93D7F">
      <w:pPr>
        <w:rPr>
          <w:b/>
        </w:rPr>
      </w:pPr>
      <w:r w:rsidRPr="00952A09">
        <w:rPr>
          <w:b/>
        </w:rPr>
        <w:t xml:space="preserve">Рисунок </w:t>
      </w:r>
      <w:r w:rsidRPr="00952A09">
        <w:rPr>
          <w:b/>
        </w:rPr>
        <w:fldChar w:fldCharType="begin"/>
      </w:r>
      <w:r w:rsidRPr="00952A09">
        <w:rPr>
          <w:b/>
        </w:rPr>
        <w:instrText xml:space="preserve"> SEQ Рисунок \* ARABIC </w:instrText>
      </w:r>
      <w:r w:rsidRPr="00952A09">
        <w:rPr>
          <w:b/>
        </w:rPr>
        <w:fldChar w:fldCharType="separate"/>
      </w:r>
      <w:r w:rsidR="00ED1BAA">
        <w:rPr>
          <w:b/>
          <w:noProof/>
        </w:rPr>
        <w:t>7</w:t>
      </w:r>
      <w:r w:rsidRPr="00952A09">
        <w:rPr>
          <w:b/>
        </w:rPr>
        <w:fldChar w:fldCharType="end"/>
      </w:r>
      <w:r w:rsidRPr="00952A09">
        <w:rPr>
          <w:b/>
        </w:rPr>
        <w:t xml:space="preserve"> Динамика основных показателей промышленного производства в 2011-2017 гг.</w:t>
      </w:r>
    </w:p>
    <w:p w14:paraId="36D89CBE" w14:textId="77777777" w:rsidR="007C4D9F" w:rsidRDefault="007C4D9F" w:rsidP="00A93D7F"/>
    <w:p w14:paraId="2F020229" w14:textId="77777777" w:rsidR="007C4D9F" w:rsidRDefault="007C4D9F" w:rsidP="00A93D7F">
      <w:r>
        <w:t>Индекс промышленного производства в 2016 г. превысил докризисный уровень 2013 г. и составил 103,1</w:t>
      </w:r>
      <w:r w:rsidRPr="00E507D7">
        <w:t xml:space="preserve">% к </w:t>
      </w:r>
      <w:r>
        <w:t>аналогичному показателю 2015 г. Это наивысшее значение показателя с 2011 г. Но, по итогам 2017 г. прогнозируется снижение динамки индекса (100,9%) связанное со спадом производства в добывающем секторе.</w:t>
      </w:r>
    </w:p>
    <w:p w14:paraId="238C0496" w14:textId="6B7705CB" w:rsidR="007C4D9F" w:rsidRDefault="007C4D9F" w:rsidP="00A93D7F">
      <w:r>
        <w:t>Д</w:t>
      </w:r>
      <w:r w:rsidRPr="006E32A4">
        <w:t>обывающие производство</w:t>
      </w:r>
      <w:r>
        <w:t xml:space="preserve"> вносит</w:t>
      </w:r>
      <w:r w:rsidRPr="006E32A4">
        <w:t xml:space="preserve"> </w:t>
      </w:r>
      <w:r>
        <w:t>основной вклад</w:t>
      </w:r>
      <w:r w:rsidRPr="006E32A4">
        <w:t xml:space="preserve"> в структуру промышленного производств</w:t>
      </w:r>
      <w:r>
        <w:t>а:</w:t>
      </w:r>
      <w:r w:rsidRPr="006E32A4">
        <w:t xml:space="preserve"> </w:t>
      </w:r>
      <w:r>
        <w:t xml:space="preserve">в 2016 г. на добычу пришлось </w:t>
      </w:r>
      <w:r w:rsidRPr="006E32A4">
        <w:t xml:space="preserve">98,1% общего объёма отгрузки </w:t>
      </w:r>
      <w:r>
        <w:t xml:space="preserve">крупных и средних </w:t>
      </w:r>
      <w:r w:rsidRPr="006E32A4">
        <w:t>промышленных предприятий</w:t>
      </w:r>
      <w:r>
        <w:t xml:space="preserve"> района. П</w:t>
      </w:r>
      <w:r w:rsidRPr="006E32A4">
        <w:t xml:space="preserve">о итогам 2016 </w:t>
      </w:r>
      <w:r>
        <w:t>г.</w:t>
      </w:r>
      <w:r w:rsidRPr="006E32A4">
        <w:t xml:space="preserve"> объём отгруженных товаров, выполненных работ и услуг собственными силами по виду деятельности «Добывающие производство» составил 245 557,6 млн. рублей</w:t>
      </w:r>
      <w:r>
        <w:t xml:space="preserve"> (наибольшее значение с 2011 г.). Рост обусловлен </w:t>
      </w:r>
      <w:r w:rsidRPr="00DE7A2C">
        <w:t>наращиванием программ</w:t>
      </w:r>
      <w:r>
        <w:t xml:space="preserve"> бурения и успешного применения</w:t>
      </w:r>
      <w:r w:rsidRPr="00DE7A2C">
        <w:t xml:space="preserve"> современных геолого-технических мероприятий крупными нефтяными предприятиями района. П</w:t>
      </w:r>
      <w:r>
        <w:t xml:space="preserve">о оценкам в 2017 г. </w:t>
      </w:r>
      <w:r w:rsidRPr="006E32A4">
        <w:t xml:space="preserve">показатель </w:t>
      </w:r>
      <w:r>
        <w:t xml:space="preserve">вырастет до </w:t>
      </w:r>
      <w:r w:rsidRPr="006E32A4">
        <w:t xml:space="preserve">258 023,3 млн. рублей. </w:t>
      </w:r>
      <w:r>
        <w:t>Но вместе с тем индекс добывающего производства в 2017 году замедлился: роста на 100,5% в 2017 г. против 103,1% в 2016 г. Это связанно с уменьшением объёма добычи нефтяными компаниями продиктованного присоединением России к реализации мер по снижению объёмов добычи нефти и повышения цен на сырье, предложенных странами ОПЕК.</w:t>
      </w:r>
    </w:p>
    <w:p w14:paraId="5EBC9596" w14:textId="77777777" w:rsidR="003F66F4" w:rsidRDefault="003F66F4" w:rsidP="00A93D7F"/>
    <w:p w14:paraId="6E35EF35" w14:textId="66BAED49" w:rsidR="00797684" w:rsidRDefault="00645570" w:rsidP="00A93D7F">
      <w:r>
        <w:rPr>
          <w:noProof/>
        </w:rPr>
        <w:drawing>
          <wp:inline distT="0" distB="0" distL="0" distR="0" wp14:anchorId="6967FDC1" wp14:editId="3A3C1E8C">
            <wp:extent cx="5261610" cy="2230511"/>
            <wp:effectExtent l="0" t="0" r="0" b="508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98A6EA" w14:textId="597AB8D0" w:rsidR="007C4D9F" w:rsidRPr="00952A09" w:rsidRDefault="007C4D9F" w:rsidP="00A93D7F">
      <w:pPr>
        <w:rPr>
          <w:b/>
        </w:rPr>
      </w:pPr>
      <w:r w:rsidRPr="00952A09">
        <w:rPr>
          <w:b/>
        </w:rPr>
        <w:t xml:space="preserve">Рисунок </w:t>
      </w:r>
      <w:r w:rsidRPr="00952A09">
        <w:rPr>
          <w:b/>
        </w:rPr>
        <w:fldChar w:fldCharType="begin"/>
      </w:r>
      <w:r w:rsidRPr="00952A09">
        <w:rPr>
          <w:b/>
        </w:rPr>
        <w:instrText xml:space="preserve"> SEQ Рисунок \* ARABIC </w:instrText>
      </w:r>
      <w:r w:rsidRPr="00952A09">
        <w:rPr>
          <w:b/>
        </w:rPr>
        <w:fldChar w:fldCharType="separate"/>
      </w:r>
      <w:r w:rsidR="00ED1BAA">
        <w:rPr>
          <w:b/>
          <w:noProof/>
        </w:rPr>
        <w:t>8</w:t>
      </w:r>
      <w:r w:rsidRPr="00952A09">
        <w:rPr>
          <w:b/>
        </w:rPr>
        <w:fldChar w:fldCharType="end"/>
      </w:r>
      <w:r w:rsidRPr="00952A09">
        <w:rPr>
          <w:b/>
        </w:rPr>
        <w:t xml:space="preserve"> Динамика </w:t>
      </w:r>
      <w:r w:rsidRPr="00952A09">
        <w:rPr>
          <w:rFonts w:eastAsia="Times New Roman"/>
          <w:b/>
        </w:rPr>
        <w:t>основных показателей д</w:t>
      </w:r>
      <w:r w:rsidRPr="00952A09">
        <w:rPr>
          <w:b/>
        </w:rPr>
        <w:t>обыв</w:t>
      </w:r>
      <w:r w:rsidR="00E41715" w:rsidRPr="00952A09">
        <w:rPr>
          <w:b/>
        </w:rPr>
        <w:t>ающего производства в 2011-2017 </w:t>
      </w:r>
      <w:r w:rsidRPr="00952A09">
        <w:rPr>
          <w:b/>
        </w:rPr>
        <w:t>гг.</w:t>
      </w:r>
    </w:p>
    <w:p w14:paraId="7448303A" w14:textId="77777777" w:rsidR="007C4D9F" w:rsidRDefault="007C4D9F" w:rsidP="00A93D7F"/>
    <w:p w14:paraId="106F1D61" w14:textId="77777777" w:rsidR="007C4D9F" w:rsidRPr="001B5D84" w:rsidRDefault="007C4D9F" w:rsidP="00A93D7F">
      <w:r w:rsidRPr="00C24FE8">
        <w:t>Нефтедобыча</w:t>
      </w:r>
      <w:r>
        <w:t xml:space="preserve"> и связанные с ней производства </w:t>
      </w:r>
      <w:r w:rsidRPr="0084568C">
        <w:t>составля</w:t>
      </w:r>
      <w:r>
        <w:t>ют</w:t>
      </w:r>
      <w:r w:rsidRPr="0084568C">
        <w:t xml:space="preserve"> </w:t>
      </w:r>
      <w:r>
        <w:t>основу экономической</w:t>
      </w:r>
      <w:r w:rsidRPr="0084568C">
        <w:t xml:space="preserve"> базы </w:t>
      </w:r>
      <w:r>
        <w:t xml:space="preserve">Нефтеюганского </w:t>
      </w:r>
      <w:r w:rsidRPr="0084568C">
        <w:t>района. Н</w:t>
      </w:r>
      <w:r>
        <w:t>а территории района эксплуатируе</w:t>
      </w:r>
      <w:r w:rsidRPr="0084568C">
        <w:t>тся</w:t>
      </w:r>
      <w:r>
        <w:t xml:space="preserve"> ряд</w:t>
      </w:r>
      <w:r w:rsidRPr="0084568C">
        <w:t xml:space="preserve"> крупны</w:t>
      </w:r>
      <w:r>
        <w:t xml:space="preserve">х </w:t>
      </w:r>
      <w:r>
        <w:lastRenderedPageBreak/>
        <w:t>месторождений</w:t>
      </w:r>
      <w:r w:rsidRPr="0084568C">
        <w:t>:</w:t>
      </w:r>
      <w:r>
        <w:t xml:space="preserve"> </w:t>
      </w:r>
      <w:r w:rsidRPr="0084568C">
        <w:t>Мамонтовское,</w:t>
      </w:r>
      <w:r>
        <w:t xml:space="preserve"> </w:t>
      </w:r>
      <w:r w:rsidRPr="0084568C">
        <w:t>Правдинское,</w:t>
      </w:r>
      <w:r>
        <w:t xml:space="preserve"> </w:t>
      </w:r>
      <w:r w:rsidRPr="0084568C">
        <w:t>Южно-Сургутское,</w:t>
      </w:r>
      <w:r>
        <w:t xml:space="preserve"> </w:t>
      </w:r>
      <w:r w:rsidRPr="0084568C">
        <w:t>Мало-Балыкское,</w:t>
      </w:r>
      <w:r>
        <w:t xml:space="preserve"> </w:t>
      </w:r>
      <w:r w:rsidRPr="0084568C">
        <w:t>Усть-Балыкское</w:t>
      </w:r>
      <w:r>
        <w:t xml:space="preserve">. </w:t>
      </w:r>
      <w:r w:rsidRPr="00963DFF">
        <w:t>Крупными нефтедобывающими компаниями</w:t>
      </w:r>
      <w:r>
        <w:t xml:space="preserve"> являются </w:t>
      </w:r>
      <w:r w:rsidRPr="001B5D84">
        <w:t>ООО «РН-Юганскнефтегаз» (подразделение ПАО «Роснефть»</w:t>
      </w:r>
      <w:r>
        <w:t xml:space="preserve"> и </w:t>
      </w:r>
      <w:r w:rsidRPr="001B5D84">
        <w:t>Нефтеюганский филиал компании «Салым Петролеум Девелопмент Н.В.».</w:t>
      </w:r>
    </w:p>
    <w:p w14:paraId="11C6D2E8" w14:textId="77777777" w:rsidR="007C4D9F" w:rsidRPr="0057380C" w:rsidRDefault="007C4D9F" w:rsidP="00A93D7F">
      <w:r w:rsidRPr="0057380C">
        <w:t xml:space="preserve">Поставки нефти на экспорт и внутренний рынок осуществляются по магистральному трубопроводу Усть-Балык – Омск, принадлежащему </w:t>
      </w:r>
      <w:r>
        <w:t>ПАО</w:t>
      </w:r>
      <w:r w:rsidRPr="0057380C">
        <w:t xml:space="preserve"> «Транснефть».</w:t>
      </w:r>
    </w:p>
    <w:p w14:paraId="1395B865" w14:textId="77777777" w:rsidR="007C4D9F" w:rsidRDefault="007C4D9F" w:rsidP="00A93D7F">
      <w:pPr>
        <w:rPr>
          <w:rFonts w:eastAsia="Times New Roman"/>
        </w:rPr>
      </w:pPr>
      <w:r>
        <w:rPr>
          <w:rFonts w:eastAsia="Times New Roman"/>
        </w:rPr>
        <w:t xml:space="preserve">За рассматриваемый период произошло </w:t>
      </w:r>
      <w:r w:rsidRPr="006E32A4">
        <w:rPr>
          <w:rFonts w:eastAsia="Times New Roman"/>
        </w:rPr>
        <w:t xml:space="preserve">увеличение доли </w:t>
      </w:r>
      <w:r>
        <w:t>добывающего производства</w:t>
      </w:r>
      <w:r w:rsidRPr="006E32A4">
        <w:t xml:space="preserve"> в структуре отгрузки </w:t>
      </w:r>
      <w:r>
        <w:t>промышленных предприятий района (за счёт постепенного роста отгрузки) и снижение в</w:t>
      </w:r>
      <w:r w:rsidRPr="006E32A4">
        <w:rPr>
          <w:rFonts w:eastAsia="Times New Roman"/>
        </w:rPr>
        <w:t>клад</w:t>
      </w:r>
      <w:r>
        <w:rPr>
          <w:rFonts w:eastAsia="Times New Roman"/>
        </w:rPr>
        <w:t>а</w:t>
      </w:r>
      <w:r w:rsidRPr="006E32A4">
        <w:rPr>
          <w:rFonts w:eastAsia="Times New Roman"/>
        </w:rPr>
        <w:t xml:space="preserve"> </w:t>
      </w:r>
      <w:r>
        <w:rPr>
          <w:rFonts w:eastAsia="Times New Roman"/>
        </w:rPr>
        <w:t>обрабатывающих</w:t>
      </w:r>
      <w:r w:rsidRPr="006E32A4">
        <w:rPr>
          <w:rFonts w:eastAsia="Times New Roman"/>
        </w:rPr>
        <w:t xml:space="preserve"> производств</w:t>
      </w:r>
      <w:r>
        <w:rPr>
          <w:rFonts w:eastAsia="Times New Roman"/>
        </w:rPr>
        <w:t xml:space="preserve"> (отгрузка, напротив, сокращается последние три года) в экономику района</w:t>
      </w:r>
      <w:r w:rsidRPr="006E32A4">
        <w:rPr>
          <w:rFonts w:eastAsia="Times New Roman"/>
        </w:rPr>
        <w:t xml:space="preserve">: в 2016 </w:t>
      </w:r>
      <w:r>
        <w:rPr>
          <w:rFonts w:eastAsia="Times New Roman"/>
        </w:rPr>
        <w:t>г.</w:t>
      </w:r>
      <w:r w:rsidRPr="006E32A4">
        <w:rPr>
          <w:rFonts w:eastAsia="Times New Roman"/>
        </w:rPr>
        <w:t xml:space="preserve"> на данный вид экономической деятельности пришлось 1,03% общей о</w:t>
      </w:r>
      <w:r>
        <w:rPr>
          <w:rFonts w:eastAsia="Times New Roman"/>
        </w:rPr>
        <w:t>тгрузки промышленности (2 580,8 </w:t>
      </w:r>
      <w:r w:rsidRPr="006E32A4">
        <w:rPr>
          <w:rFonts w:eastAsia="Times New Roman"/>
        </w:rPr>
        <w:t xml:space="preserve">млн. рублей), </w:t>
      </w:r>
      <w:r>
        <w:rPr>
          <w:rFonts w:eastAsia="Times New Roman"/>
        </w:rPr>
        <w:t xml:space="preserve">оценочный показатель </w:t>
      </w:r>
      <w:r w:rsidRPr="006E32A4">
        <w:rPr>
          <w:rFonts w:eastAsia="Times New Roman"/>
        </w:rPr>
        <w:t xml:space="preserve">в 2017 </w:t>
      </w:r>
      <w:r>
        <w:rPr>
          <w:rFonts w:eastAsia="Times New Roman"/>
        </w:rPr>
        <w:t>г.</w:t>
      </w:r>
      <w:r w:rsidRPr="006E32A4">
        <w:rPr>
          <w:rFonts w:eastAsia="Times New Roman"/>
        </w:rPr>
        <w:t xml:space="preserve"> – 0,97% (2 549,4 млн. рублей)</w:t>
      </w:r>
      <w:r>
        <w:rPr>
          <w:rFonts w:eastAsia="Times New Roman"/>
        </w:rPr>
        <w:t>. В 2011 г. доля обрабатывающих производств в структуре отгрузки промышленного производства района составляла 6%. Вместе с тем индекс производства в 2016 г. составил 86,5</w:t>
      </w:r>
      <w:r w:rsidRPr="00E507D7">
        <w:rPr>
          <w:rFonts w:eastAsia="Times New Roman"/>
        </w:rPr>
        <w:t xml:space="preserve">% к </w:t>
      </w:r>
      <w:r>
        <w:rPr>
          <w:rFonts w:eastAsia="Times New Roman"/>
        </w:rPr>
        <w:t xml:space="preserve">аналогичному показателю </w:t>
      </w:r>
      <w:r w:rsidRPr="00E507D7">
        <w:rPr>
          <w:rFonts w:eastAsia="Times New Roman"/>
        </w:rPr>
        <w:t>предыдуще</w:t>
      </w:r>
      <w:r>
        <w:rPr>
          <w:rFonts w:eastAsia="Times New Roman"/>
        </w:rPr>
        <w:t xml:space="preserve">го </w:t>
      </w:r>
      <w:r w:rsidRPr="00E507D7">
        <w:rPr>
          <w:rFonts w:eastAsia="Times New Roman"/>
        </w:rPr>
        <w:t>год</w:t>
      </w:r>
      <w:r>
        <w:rPr>
          <w:rFonts w:eastAsia="Times New Roman"/>
        </w:rPr>
        <w:t xml:space="preserve">а – наименьший показатель с 2013 г. </w:t>
      </w:r>
    </w:p>
    <w:p w14:paraId="727EB091" w14:textId="77777777" w:rsidR="00D6247A" w:rsidRDefault="00D6247A" w:rsidP="00A93D7F"/>
    <w:p w14:paraId="47D233DC" w14:textId="1E0CA047" w:rsidR="007C4D9F" w:rsidRPr="00D6247A" w:rsidRDefault="00D6247A" w:rsidP="00A93D7F">
      <w:pPr>
        <w:rPr>
          <w:rFonts w:eastAsia="Times New Roman"/>
        </w:rPr>
      </w:pPr>
      <w:r>
        <w:rPr>
          <w:noProof/>
        </w:rPr>
        <w:drawing>
          <wp:inline distT="0" distB="0" distL="0" distR="0" wp14:anchorId="731D2C52" wp14:editId="2B7B9F51">
            <wp:extent cx="5033157" cy="2483729"/>
            <wp:effectExtent l="0" t="0" r="0" b="5715"/>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1C6B0B" w14:textId="77777777" w:rsidR="007C4D9F" w:rsidRPr="00952A09" w:rsidRDefault="007C4D9F" w:rsidP="00A93D7F">
      <w:pPr>
        <w:rPr>
          <w:rFonts w:eastAsia="Times New Roman"/>
          <w:b/>
        </w:rPr>
      </w:pPr>
      <w:r w:rsidRPr="00952A09">
        <w:rPr>
          <w:b/>
        </w:rPr>
        <w:t xml:space="preserve">Рисунок </w:t>
      </w:r>
      <w:r w:rsidRPr="00952A09">
        <w:rPr>
          <w:b/>
        </w:rPr>
        <w:fldChar w:fldCharType="begin"/>
      </w:r>
      <w:r w:rsidRPr="00952A09">
        <w:rPr>
          <w:b/>
        </w:rPr>
        <w:instrText xml:space="preserve"> SEQ Рисунок \* ARABIC </w:instrText>
      </w:r>
      <w:r w:rsidRPr="00952A09">
        <w:rPr>
          <w:b/>
        </w:rPr>
        <w:fldChar w:fldCharType="separate"/>
      </w:r>
      <w:r w:rsidR="00ED1BAA">
        <w:rPr>
          <w:b/>
          <w:noProof/>
        </w:rPr>
        <w:t>9</w:t>
      </w:r>
      <w:r w:rsidRPr="00952A09">
        <w:rPr>
          <w:b/>
        </w:rPr>
        <w:fldChar w:fldCharType="end"/>
      </w:r>
      <w:r w:rsidRPr="00952A09">
        <w:rPr>
          <w:b/>
        </w:rPr>
        <w:t xml:space="preserve"> Динамика </w:t>
      </w:r>
      <w:r w:rsidRPr="00952A09">
        <w:rPr>
          <w:rFonts w:eastAsia="Times New Roman"/>
          <w:b/>
        </w:rPr>
        <w:t>основных показателей обрабатывающих</w:t>
      </w:r>
      <w:r w:rsidRPr="00952A09">
        <w:rPr>
          <w:b/>
        </w:rPr>
        <w:t xml:space="preserve"> производств в 2011-2017 гг.</w:t>
      </w:r>
    </w:p>
    <w:p w14:paraId="6B4362F4" w14:textId="77777777" w:rsidR="007C4D9F" w:rsidRDefault="007C4D9F" w:rsidP="00A93D7F"/>
    <w:p w14:paraId="1338224E" w14:textId="77777777" w:rsidR="007C4D9F" w:rsidRDefault="007C4D9F" w:rsidP="00A93D7F">
      <w:r w:rsidRPr="00114317">
        <w:t xml:space="preserve">По виду деятельности «Обрабатывающее производство» на территории района осуществляют деятельность 14 </w:t>
      </w:r>
      <w:r>
        <w:t xml:space="preserve">крупных и средних </w:t>
      </w:r>
      <w:r w:rsidRPr="00114317">
        <w:t>организаций</w:t>
      </w:r>
      <w:r>
        <w:t xml:space="preserve">. На </w:t>
      </w:r>
      <w:r w:rsidRPr="00114317">
        <w:t>про</w:t>
      </w:r>
      <w:r>
        <w:t xml:space="preserve">изводство машин и оборудования </w:t>
      </w:r>
      <w:r w:rsidRPr="00114317">
        <w:t>приходится 75,4% от общего объема обрабатывающей промышленности</w:t>
      </w:r>
      <w:r>
        <w:t xml:space="preserve"> (в 2016 году)</w:t>
      </w:r>
      <w:r w:rsidRPr="00114317">
        <w:t xml:space="preserve">. </w:t>
      </w:r>
      <w:r>
        <w:t xml:space="preserve">Наиболее крупное предприятие обрабатывающей промышленности – ООО «ЮКОРТ», осуществляющие </w:t>
      </w:r>
      <w:r w:rsidRPr="00963DFF">
        <w:t xml:space="preserve">изоляцию </w:t>
      </w:r>
      <w:r>
        <w:t xml:space="preserve">и </w:t>
      </w:r>
      <w:r w:rsidRPr="00963DFF">
        <w:t>сварк</w:t>
      </w:r>
      <w:r>
        <w:t>у</w:t>
      </w:r>
      <w:r w:rsidRPr="00963DFF">
        <w:t xml:space="preserve"> труб в двухтрубные секции </w:t>
      </w:r>
      <w:r>
        <w:t>труб нефтяного сортамента.</w:t>
      </w:r>
    </w:p>
    <w:p w14:paraId="6B88C0F5" w14:textId="77777777" w:rsidR="007C4D9F" w:rsidRDefault="007C4D9F" w:rsidP="00A93D7F">
      <w:r>
        <w:t>По виду экономической деятельности «</w:t>
      </w:r>
      <w:r w:rsidRPr="00725D43">
        <w:t>Обеспечение электрической энергией, газом и па</w:t>
      </w:r>
      <w:r>
        <w:t xml:space="preserve">ром, кондиционирование воздуха» по итогам 2016 отгрузка составила </w:t>
      </w:r>
      <w:r w:rsidRPr="00725D43">
        <w:t>1</w:t>
      </w:r>
      <w:r>
        <w:t> </w:t>
      </w:r>
      <w:r w:rsidRPr="00725D43">
        <w:t>649,9</w:t>
      </w:r>
      <w:r>
        <w:t xml:space="preserve"> млн. рублей, по итогам 2017 г. прогнозируется темп рост в текущих ценах на 144,3%, по виду деятельности «</w:t>
      </w:r>
      <w:r w:rsidRPr="00725D43">
        <w:t>Водоснабжение; водоотведение, организация сбора и утилизации отходов, деятельность по ликвидации загрязнений</w:t>
      </w:r>
      <w:r>
        <w:t>» отгружено продукции и услуг в 2016 г. на 66,5 </w:t>
      </w:r>
      <w:r w:rsidRPr="00725D43">
        <w:t xml:space="preserve">млн. рублей, </w:t>
      </w:r>
      <w:r>
        <w:t>оценочный темп</w:t>
      </w:r>
      <w:r w:rsidRPr="00725D43">
        <w:t xml:space="preserve"> </w:t>
      </w:r>
      <w:r>
        <w:t xml:space="preserve">роста </w:t>
      </w:r>
      <w:r w:rsidRPr="00725D43">
        <w:t xml:space="preserve">2017 </w:t>
      </w:r>
      <w:r>
        <w:t>г.</w:t>
      </w:r>
      <w:r w:rsidRPr="00725D43">
        <w:t xml:space="preserve"> </w:t>
      </w:r>
      <w:r>
        <w:t>составляет 100,8%.</w:t>
      </w:r>
    </w:p>
    <w:p w14:paraId="785F60CD" w14:textId="77777777" w:rsidR="007C4D9F" w:rsidRDefault="007C4D9F" w:rsidP="00A93D7F">
      <w:r>
        <w:t>На территории Нефтеюганского района также осуществляют деятельность предприятия лесопромышленного производства, строительной отрасли, транспортной отрасли</w:t>
      </w:r>
      <w:r w:rsidRPr="006445E7">
        <w:t xml:space="preserve">, агропромышленном комплексе, </w:t>
      </w:r>
      <w:r>
        <w:t xml:space="preserve">розничной торговле и </w:t>
      </w:r>
      <w:r w:rsidRPr="006445E7">
        <w:t>сфере услуг</w:t>
      </w:r>
      <w:r>
        <w:t>. Предприятия лесопромышленного комплекса района ориентированы на лесозаготовки и производство деловой древесины – продукции с низкой добавленной стоимостью.</w:t>
      </w:r>
    </w:p>
    <w:p w14:paraId="7E118497" w14:textId="77777777" w:rsidR="007C4D9F" w:rsidRDefault="007C4D9F" w:rsidP="00A93D7F">
      <w:r>
        <w:lastRenderedPageBreak/>
        <w:t>Промышленность Нефтеюганского района характеризуется в</w:t>
      </w:r>
      <w:r w:rsidRPr="007B5202">
        <w:t>ысок</w:t>
      </w:r>
      <w:r>
        <w:t>ой</w:t>
      </w:r>
      <w:r w:rsidRPr="007B5202">
        <w:t xml:space="preserve"> </w:t>
      </w:r>
      <w:r>
        <w:t xml:space="preserve">степенью </w:t>
      </w:r>
      <w:r w:rsidRPr="007B5202">
        <w:t>концентраци</w:t>
      </w:r>
      <w:r>
        <w:t>и</w:t>
      </w:r>
      <w:r w:rsidRPr="007B5202">
        <w:t xml:space="preserve"> производства в добывающем (нефтегазовом) секторе или обслуживании добывающего сектора</w:t>
      </w:r>
      <w:r>
        <w:t>. Относительно обрабатывающих производств отрасль нефтедобычи характеризуется низкой долей добавочной стоимости, остающейся на территории района. Сектор нефтедобычи также более подвержен влиянию внешних факторов (изменению экономической конъюнктуры), что при сохранении существующей структуры производства в долгосрочной перспективе может негативно сказаться на экономике района.</w:t>
      </w:r>
    </w:p>
    <w:p w14:paraId="56187B38" w14:textId="77777777" w:rsidR="00DD6AD8" w:rsidRDefault="00DD6AD8" w:rsidP="00A93D7F"/>
    <w:p w14:paraId="28E865F0" w14:textId="77777777" w:rsidR="00DD6AD8" w:rsidRPr="00952A09" w:rsidRDefault="00DD6AD8" w:rsidP="00A93D7F">
      <w:pPr>
        <w:rPr>
          <w:i/>
        </w:rPr>
      </w:pPr>
      <w:r w:rsidRPr="00952A09">
        <w:rPr>
          <w:i/>
        </w:rPr>
        <w:t>Агропромышленный комплекс</w:t>
      </w:r>
    </w:p>
    <w:p w14:paraId="769B66F9" w14:textId="46A2A95A" w:rsidR="00DD6AD8" w:rsidRDefault="00DD6AD8" w:rsidP="00A93D7F">
      <w:r>
        <w:t>С</w:t>
      </w:r>
      <w:r w:rsidRPr="009F1F9E">
        <w:t xml:space="preserve">оздание условий для развития сельскохозяйственного производства, расширения рынка </w:t>
      </w:r>
      <w:r w:rsidR="002679EA">
        <w:t xml:space="preserve">сельскохозяйственной </w:t>
      </w:r>
      <w:r w:rsidRPr="009F1F9E">
        <w:t>пр</w:t>
      </w:r>
      <w:r w:rsidR="002679EA">
        <w:t xml:space="preserve">одукции </w:t>
      </w:r>
      <w:r>
        <w:t>и</w:t>
      </w:r>
      <w:r w:rsidRPr="009F1F9E">
        <w:t xml:space="preserve"> обеспечение продовольственной безопасности района </w:t>
      </w:r>
      <w:r>
        <w:t>является о</w:t>
      </w:r>
      <w:r w:rsidRPr="009F1F9E">
        <w:t xml:space="preserve">дним из приоритетных направлений деятельности Нефтеюганского </w:t>
      </w:r>
      <w:r>
        <w:t xml:space="preserve">района в течение последних лет. </w:t>
      </w:r>
      <w:r w:rsidRPr="00B26D56">
        <w:t xml:space="preserve">Объем производства </w:t>
      </w:r>
      <w:r>
        <w:t xml:space="preserve">сельского хозяйства, </w:t>
      </w:r>
      <w:r w:rsidRPr="00B26D56">
        <w:t>в</w:t>
      </w:r>
      <w:r>
        <w:t xml:space="preserve"> фактически действовавших ценах, в 2016 г. составил 287,5 млн. рублей. Темп в 99% к 2015 г. позволил отрасли превысить пиковое значение отгрузки, зафиксированное 2014 г.</w:t>
      </w:r>
    </w:p>
    <w:p w14:paraId="5CA2BC4E" w14:textId="77777777" w:rsidR="00001B90" w:rsidRDefault="00001B90" w:rsidP="00A93D7F"/>
    <w:p w14:paraId="42CA66E7" w14:textId="6A1EEF59" w:rsidR="00DD6AD8" w:rsidRDefault="00001B90" w:rsidP="00A93D7F">
      <w:r>
        <w:rPr>
          <w:noProof/>
        </w:rPr>
        <w:drawing>
          <wp:inline distT="0" distB="0" distL="0" distR="0" wp14:anchorId="437944A1" wp14:editId="525DDD50">
            <wp:extent cx="4956810" cy="2078644"/>
            <wp:effectExtent l="0" t="0" r="0" b="4445"/>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DA7CEA" w14:textId="77777777" w:rsidR="00DD6AD8" w:rsidRPr="00952A09" w:rsidRDefault="00DD6AD8" w:rsidP="00A93D7F">
      <w:pPr>
        <w:rPr>
          <w:b/>
        </w:rPr>
      </w:pPr>
      <w:r w:rsidRPr="00952A09">
        <w:rPr>
          <w:b/>
        </w:rPr>
        <w:t xml:space="preserve">Рисунок </w:t>
      </w:r>
      <w:r w:rsidRPr="00952A09">
        <w:rPr>
          <w:b/>
        </w:rPr>
        <w:fldChar w:fldCharType="begin"/>
      </w:r>
      <w:r w:rsidRPr="00952A09">
        <w:rPr>
          <w:b/>
        </w:rPr>
        <w:instrText xml:space="preserve"> SEQ Рисунок \* ARABIC </w:instrText>
      </w:r>
      <w:r w:rsidRPr="00952A09">
        <w:rPr>
          <w:b/>
        </w:rPr>
        <w:fldChar w:fldCharType="separate"/>
      </w:r>
      <w:r w:rsidR="00ED1BAA">
        <w:rPr>
          <w:b/>
          <w:noProof/>
        </w:rPr>
        <w:t>10</w:t>
      </w:r>
      <w:r w:rsidRPr="00952A09">
        <w:rPr>
          <w:b/>
        </w:rPr>
        <w:fldChar w:fldCharType="end"/>
      </w:r>
      <w:r w:rsidRPr="00952A09">
        <w:rPr>
          <w:b/>
        </w:rPr>
        <w:t xml:space="preserve"> Динамика показателей деятельности агропромышленных хозяйств всех категорий в 2011-2017 гг.</w:t>
      </w:r>
    </w:p>
    <w:p w14:paraId="7DF70468" w14:textId="77777777" w:rsidR="00DD6AD8" w:rsidRDefault="00DD6AD8" w:rsidP="00A93D7F"/>
    <w:p w14:paraId="0870FD1A" w14:textId="77777777" w:rsidR="00DD6AD8" w:rsidRDefault="00DD6AD8" w:rsidP="00A93D7F">
      <w:r>
        <w:t xml:space="preserve">На территории </w:t>
      </w:r>
      <w:r w:rsidRPr="007316F0">
        <w:t xml:space="preserve">Нефтеюганского района </w:t>
      </w:r>
      <w:r>
        <w:t>осуществляют деятельность 161 предприятие сельского хозяйства, в том числе:</w:t>
      </w:r>
      <w:r w:rsidRPr="007316F0">
        <w:t xml:space="preserve"> </w:t>
      </w:r>
    </w:p>
    <w:p w14:paraId="71AA7089" w14:textId="77777777" w:rsidR="00DD6AD8" w:rsidRPr="00211BC8" w:rsidRDefault="00DD6AD8" w:rsidP="00A93D7F">
      <w:pPr>
        <w:pStyle w:val="a0"/>
        <w:numPr>
          <w:ilvl w:val="0"/>
          <w:numId w:val="17"/>
        </w:numPr>
      </w:pPr>
      <w:r w:rsidRPr="00211BC8">
        <w:t xml:space="preserve">НРМУП «Чеускино»; </w:t>
      </w:r>
    </w:p>
    <w:p w14:paraId="32AC2A69" w14:textId="77777777" w:rsidR="00DD6AD8" w:rsidRPr="00211BC8" w:rsidRDefault="00DD6AD8" w:rsidP="00A93D7F">
      <w:pPr>
        <w:pStyle w:val="a0"/>
        <w:numPr>
          <w:ilvl w:val="0"/>
          <w:numId w:val="17"/>
        </w:numPr>
      </w:pPr>
      <w:r w:rsidRPr="00211BC8">
        <w:t xml:space="preserve">3 предприятия рыбной отрасли; </w:t>
      </w:r>
    </w:p>
    <w:p w14:paraId="11E3D4B1" w14:textId="77777777" w:rsidR="00DD6AD8" w:rsidRPr="00211BC8" w:rsidRDefault="00DD6AD8" w:rsidP="00A93D7F">
      <w:pPr>
        <w:pStyle w:val="a0"/>
        <w:numPr>
          <w:ilvl w:val="0"/>
          <w:numId w:val="17"/>
        </w:numPr>
      </w:pPr>
      <w:r w:rsidRPr="00211BC8">
        <w:t xml:space="preserve">35 крестьянских (фермерских) хозяйств; </w:t>
      </w:r>
    </w:p>
    <w:p w14:paraId="6C6335E8" w14:textId="77777777" w:rsidR="00DD6AD8" w:rsidRPr="00211BC8" w:rsidRDefault="00DD6AD8" w:rsidP="00A93D7F">
      <w:pPr>
        <w:pStyle w:val="a0"/>
        <w:numPr>
          <w:ilvl w:val="0"/>
          <w:numId w:val="17"/>
        </w:numPr>
      </w:pPr>
      <w:r w:rsidRPr="00211BC8">
        <w:t xml:space="preserve">120 личных подсобных хозяйств. </w:t>
      </w:r>
    </w:p>
    <w:p w14:paraId="3517FA8C" w14:textId="77777777" w:rsidR="00DD6AD8" w:rsidRDefault="00DD6AD8" w:rsidP="00A93D7F">
      <w:r w:rsidRPr="006172BC">
        <w:t>Числ</w:t>
      </w:r>
      <w:r>
        <w:t>о</w:t>
      </w:r>
      <w:r w:rsidRPr="006172BC">
        <w:t xml:space="preserve"> </w:t>
      </w:r>
      <w:r>
        <w:t>занятых</w:t>
      </w:r>
      <w:r w:rsidRPr="006172BC">
        <w:t xml:space="preserve"> в агропромышленном комплексе Нефтеюганского района в 2016 </w:t>
      </w:r>
      <w:r>
        <w:t>г. составило</w:t>
      </w:r>
      <w:r w:rsidRPr="006172BC">
        <w:t xml:space="preserve"> 332 человека</w:t>
      </w:r>
      <w:r>
        <w:t xml:space="preserve"> (1% </w:t>
      </w:r>
      <w:r w:rsidRPr="009B00E7">
        <w:t>среднегодов</w:t>
      </w:r>
      <w:r>
        <w:t>ой</w:t>
      </w:r>
      <w:r w:rsidRPr="009B00E7">
        <w:t xml:space="preserve"> </w:t>
      </w:r>
      <w:r>
        <w:t>ч</w:t>
      </w:r>
      <w:r w:rsidRPr="009B00E7">
        <w:t>исленност</w:t>
      </w:r>
      <w:r>
        <w:t>и</w:t>
      </w:r>
      <w:r w:rsidRPr="009B00E7">
        <w:t xml:space="preserve"> занятых в экономике</w:t>
      </w:r>
      <w:r>
        <w:t xml:space="preserve"> района)</w:t>
      </w:r>
      <w:r w:rsidRPr="006172BC">
        <w:t>.</w:t>
      </w:r>
    </w:p>
    <w:p w14:paraId="73F38AAC" w14:textId="77777777" w:rsidR="00DD6AD8" w:rsidRDefault="00DD6AD8" w:rsidP="00A93D7F">
      <w:r>
        <w:t>По состоянию на 01.01.2017 г.</w:t>
      </w:r>
      <w:r w:rsidRPr="007316F0">
        <w:t xml:space="preserve"> показатель общего поголовья сельскохозяйственных животных по Нефтеюганскому району составил 5</w:t>
      </w:r>
      <w:r>
        <w:t> </w:t>
      </w:r>
      <w:r w:rsidRPr="007316F0">
        <w:t>708 голов (рост на 2,5 %</w:t>
      </w:r>
      <w:r>
        <w:t xml:space="preserve"> к 01.01.2016 г., рост с 2012 г. на 14,8%</w:t>
      </w:r>
      <w:r w:rsidRPr="007316F0">
        <w:t>).</w:t>
      </w:r>
      <w:r>
        <w:t xml:space="preserve"> </w:t>
      </w:r>
      <w:r w:rsidRPr="007316F0">
        <w:t xml:space="preserve">Поголовье крупного рогатого скота в районе (с учетом поголовья </w:t>
      </w:r>
      <w:r>
        <w:t>сельскохозяйственных</w:t>
      </w:r>
      <w:r w:rsidRPr="007316F0">
        <w:t xml:space="preserve"> животных у населения) составило 1</w:t>
      </w:r>
      <w:r>
        <w:t> </w:t>
      </w:r>
      <w:r w:rsidRPr="007316F0">
        <w:t>965 голов, 3</w:t>
      </w:r>
      <w:r>
        <w:t> </w:t>
      </w:r>
      <w:r w:rsidRPr="007316F0">
        <w:t>330 голов свиней, 13</w:t>
      </w:r>
      <w:r>
        <w:t> </w:t>
      </w:r>
      <w:r w:rsidRPr="007316F0">
        <w:t xml:space="preserve">918 голов </w:t>
      </w:r>
      <w:r>
        <w:t>птицы</w:t>
      </w:r>
      <w:r w:rsidRPr="007316F0">
        <w:t xml:space="preserve">, 360 голов мелкого рогатого скота, более 50 голов лошадей, </w:t>
      </w:r>
      <w:r w:rsidRPr="009D1E2B">
        <w:t xml:space="preserve">2 206 </w:t>
      </w:r>
      <w:r>
        <w:t>голов</w:t>
      </w:r>
      <w:r w:rsidRPr="007316F0">
        <w:t xml:space="preserve"> кроликов</w:t>
      </w:r>
      <w:r>
        <w:t xml:space="preserve"> и </w:t>
      </w:r>
      <w:r w:rsidRPr="009D1E2B">
        <w:t>13 918 голов птицы.</w:t>
      </w:r>
    </w:p>
    <w:p w14:paraId="23E6B8A1" w14:textId="77777777" w:rsidR="000300F8" w:rsidRDefault="000300F8" w:rsidP="00A93D7F"/>
    <w:p w14:paraId="16812E35" w14:textId="3A61503F" w:rsidR="000300F8" w:rsidRDefault="000300F8" w:rsidP="00A93D7F"/>
    <w:p w14:paraId="597A0D95" w14:textId="285B4A65" w:rsidR="00036D96" w:rsidRDefault="00036D96" w:rsidP="00952A09">
      <w:pPr>
        <w:jc w:val="center"/>
      </w:pPr>
      <w:r>
        <w:rPr>
          <w:noProof/>
        </w:rPr>
        <w:lastRenderedPageBreak/>
        <w:drawing>
          <wp:inline distT="0" distB="0" distL="0" distR="0" wp14:anchorId="5141CCC6" wp14:editId="30386F1B">
            <wp:extent cx="4652157" cy="2191825"/>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D6666A" w14:textId="77777777" w:rsidR="000300F8" w:rsidRPr="00952A09" w:rsidRDefault="000300F8" w:rsidP="00A93D7F">
      <w:pPr>
        <w:rPr>
          <w:b/>
        </w:rPr>
      </w:pPr>
      <w:r w:rsidRPr="00952A09">
        <w:rPr>
          <w:b/>
        </w:rPr>
        <w:t xml:space="preserve">Рисунок </w:t>
      </w:r>
      <w:r w:rsidRPr="00952A09">
        <w:rPr>
          <w:b/>
        </w:rPr>
        <w:fldChar w:fldCharType="begin"/>
      </w:r>
      <w:r w:rsidRPr="00952A09">
        <w:rPr>
          <w:b/>
        </w:rPr>
        <w:instrText xml:space="preserve"> SEQ Рисунок \* ARABIC </w:instrText>
      </w:r>
      <w:r w:rsidRPr="00952A09">
        <w:rPr>
          <w:b/>
        </w:rPr>
        <w:fldChar w:fldCharType="separate"/>
      </w:r>
      <w:r w:rsidR="00ED1BAA">
        <w:rPr>
          <w:b/>
          <w:noProof/>
        </w:rPr>
        <w:t>11</w:t>
      </w:r>
      <w:r w:rsidRPr="00952A09">
        <w:rPr>
          <w:b/>
        </w:rPr>
        <w:fldChar w:fldCharType="end"/>
      </w:r>
      <w:r w:rsidRPr="00952A09">
        <w:rPr>
          <w:b/>
        </w:rPr>
        <w:t xml:space="preserve"> Динамика производства сельскохозяйственной продукции в 2011-2016 гг.</w:t>
      </w:r>
    </w:p>
    <w:p w14:paraId="7FFC8B83" w14:textId="77777777" w:rsidR="000300F8" w:rsidRDefault="000300F8" w:rsidP="00A93D7F"/>
    <w:p w14:paraId="611BE311" w14:textId="77777777" w:rsidR="00DD6AD8" w:rsidRDefault="00DD6AD8" w:rsidP="00A93D7F">
      <w:r w:rsidRPr="009D1E2B">
        <w:t>Производство мяса всех видов скота и птицы в живом весе составило 1 150,9 тонн</w:t>
      </w:r>
      <w:r>
        <w:t xml:space="preserve"> (рост на 2,6% к 2015 г.). Наибольший рост показателя зафиксирован в 2015 г. – на 59,4%. </w:t>
      </w:r>
      <w:r w:rsidRPr="009D1E2B">
        <w:t>Производство мяса на</w:t>
      </w:r>
      <w:r>
        <w:t xml:space="preserve"> душу населения составляет 25,5 </w:t>
      </w:r>
      <w:r w:rsidRPr="009D1E2B">
        <w:t>кг, что превышает прогнозный</w:t>
      </w:r>
      <w:r>
        <w:t xml:space="preserve"> показатель на 2016 г. на 57,4</w:t>
      </w:r>
      <w:r w:rsidRPr="009D1E2B">
        <w:t>%</w:t>
      </w:r>
      <w:r>
        <w:t xml:space="preserve">. Рост </w:t>
      </w:r>
      <w:r w:rsidRPr="009D1E2B">
        <w:t xml:space="preserve">по сравнению с аналогичным </w:t>
      </w:r>
      <w:r>
        <w:t>показателем</w:t>
      </w:r>
      <w:r w:rsidRPr="009D1E2B">
        <w:t xml:space="preserve"> </w:t>
      </w:r>
      <w:r>
        <w:t>2015</w:t>
      </w:r>
      <w:r w:rsidRPr="009D1E2B">
        <w:t xml:space="preserve"> </w:t>
      </w:r>
      <w:r>
        <w:t>г.</w:t>
      </w:r>
      <w:r w:rsidRPr="004A309A">
        <w:t xml:space="preserve"> </w:t>
      </w:r>
      <w:r>
        <w:t>составил 2,0</w:t>
      </w:r>
      <w:r w:rsidRPr="009D1E2B">
        <w:t>%.</w:t>
      </w:r>
    </w:p>
    <w:p w14:paraId="05E2E350" w14:textId="77777777" w:rsidR="00DD6AD8" w:rsidRDefault="00DD6AD8" w:rsidP="00A93D7F">
      <w:r w:rsidRPr="009D1E2B">
        <w:t xml:space="preserve">Валовой надой молока </w:t>
      </w:r>
      <w:r>
        <w:t>в 2016 г.</w:t>
      </w:r>
      <w:r w:rsidRPr="009D1E2B">
        <w:t xml:space="preserve"> составил 3 983,</w:t>
      </w:r>
      <w:r>
        <w:t>6</w:t>
      </w:r>
      <w:r w:rsidRPr="009D1E2B">
        <w:t xml:space="preserve"> тонн</w:t>
      </w:r>
      <w:r>
        <w:t xml:space="preserve"> (план </w:t>
      </w:r>
      <w:r w:rsidRPr="00B84846">
        <w:t>3 394,0</w:t>
      </w:r>
      <w:r>
        <w:t xml:space="preserve"> тонн),</w:t>
      </w:r>
      <w:r w:rsidRPr="009D1E2B">
        <w:t xml:space="preserve"> </w:t>
      </w:r>
      <w:r>
        <w:t>в</w:t>
      </w:r>
      <w:r w:rsidRPr="009D1E2B">
        <w:t xml:space="preserve"> предшествующем году валовой надой составил 3 866 тонн (</w:t>
      </w:r>
      <w:r>
        <w:t>рос на 3,0</w:t>
      </w:r>
      <w:r w:rsidRPr="009D1E2B">
        <w:t>%).</w:t>
      </w:r>
      <w:r>
        <w:t xml:space="preserve"> </w:t>
      </w:r>
      <w:r w:rsidRPr="009D1E2B">
        <w:t>Производство молока на душу нас</w:t>
      </w:r>
      <w:r>
        <w:t>еления составляет 88,5 литров (рост на 2,7</w:t>
      </w:r>
      <w:r w:rsidRPr="009D1E2B">
        <w:t>% по сравнению с аналогичным</w:t>
      </w:r>
      <w:r>
        <w:t xml:space="preserve"> периодом предшествующего года</w:t>
      </w:r>
      <w:r w:rsidRPr="009D1E2B">
        <w:t>).</w:t>
      </w:r>
    </w:p>
    <w:p w14:paraId="573DDFBD" w14:textId="6545AFB5" w:rsidR="00DD6AD8" w:rsidRDefault="00DD6AD8" w:rsidP="00A93D7F">
      <w:r w:rsidRPr="009D1E2B">
        <w:t>Производство картофеля составило 6 600 тонн</w:t>
      </w:r>
      <w:r>
        <w:t xml:space="preserve"> (выполнение прогнозного показателя 100%)</w:t>
      </w:r>
      <w:r w:rsidRPr="009D1E2B">
        <w:t xml:space="preserve">, что является превышением показателя </w:t>
      </w:r>
      <w:r>
        <w:t>2015 г. на 3,9</w:t>
      </w:r>
      <w:r w:rsidRPr="009D1E2B">
        <w:t>% (6 350 тонн).</w:t>
      </w:r>
      <w:r>
        <w:t xml:space="preserve"> </w:t>
      </w:r>
      <w:r w:rsidRPr="009D1E2B">
        <w:t xml:space="preserve">Производство картофеля на душу населения </w:t>
      </w:r>
      <w:r>
        <w:t>составляет 146,6 кг, что на 3,5</w:t>
      </w:r>
      <w:r w:rsidRPr="009D1E2B">
        <w:t>% больше по сравнению с аналогичным периодом прошлого года (141,6 кг), исполнение планового пока</w:t>
      </w:r>
      <w:r>
        <w:t>зателя 2016 г. составило 98,7</w:t>
      </w:r>
      <w:r w:rsidRPr="009D1E2B">
        <w:t>% в связи с ростом численности населения.</w:t>
      </w:r>
    </w:p>
    <w:p w14:paraId="7BBD3ACF" w14:textId="77777777" w:rsidR="00DD6AD8" w:rsidRDefault="00DD6AD8" w:rsidP="00A93D7F">
      <w:r w:rsidRPr="007316F0">
        <w:t xml:space="preserve">Нефтеюганский район обладает значительным рыбохозяйственным фондом водоемов, который ориентировочно осваивается на 5% по рекам, и </w:t>
      </w:r>
      <w:r>
        <w:t xml:space="preserve">на </w:t>
      </w:r>
      <w:r w:rsidRPr="007316F0">
        <w:t xml:space="preserve">3% </w:t>
      </w:r>
      <w:r>
        <w:t xml:space="preserve">– </w:t>
      </w:r>
      <w:r w:rsidRPr="007316F0">
        <w:t>по озерам.</w:t>
      </w:r>
      <w:r>
        <w:t xml:space="preserve"> Д</w:t>
      </w:r>
      <w:r w:rsidRPr="007316F0">
        <w:t xml:space="preserve">еятельность по производству пищевой рыбы в настоящее время осуществляют 3 предприятия. По результатам 2016 </w:t>
      </w:r>
      <w:r>
        <w:t>г.</w:t>
      </w:r>
      <w:r w:rsidRPr="007316F0">
        <w:t xml:space="preserve"> вылов</w:t>
      </w:r>
      <w:r>
        <w:t>лено 635,5 тонн рыбы (102,5% к уровню 2015 г.).</w:t>
      </w:r>
    </w:p>
    <w:p w14:paraId="25861FA5" w14:textId="77777777" w:rsidR="00DD6AD8" w:rsidRDefault="00DD6AD8" w:rsidP="00A93D7F">
      <w:r>
        <w:t>Д</w:t>
      </w:r>
      <w:r w:rsidRPr="007316F0">
        <w:t xml:space="preserve">еятельность по заготовке дикоросов </w:t>
      </w:r>
      <w:r>
        <w:t>в</w:t>
      </w:r>
      <w:r w:rsidRPr="007316F0">
        <w:t xml:space="preserve"> Нефтеюганском районе </w:t>
      </w:r>
      <w:r>
        <w:t xml:space="preserve">в </w:t>
      </w:r>
      <w:r w:rsidRPr="007316F0">
        <w:t xml:space="preserve">настоящее время осуществляют 2 предприятия. По результатам 2016 </w:t>
      </w:r>
      <w:r>
        <w:t>г.</w:t>
      </w:r>
      <w:r w:rsidRPr="007316F0">
        <w:t xml:space="preserve"> заготовлено 38,1 тонн дикоросов</w:t>
      </w:r>
      <w:r>
        <w:t>.</w:t>
      </w:r>
    </w:p>
    <w:p w14:paraId="2578CDF1" w14:textId="77777777" w:rsidR="00DD6AD8" w:rsidRDefault="00DD6AD8" w:rsidP="00A93D7F">
      <w:r w:rsidRPr="009D1E2B">
        <w:t xml:space="preserve">Увеличение </w:t>
      </w:r>
      <w:r>
        <w:t xml:space="preserve">показателей связано с оказанием </w:t>
      </w:r>
      <w:r w:rsidRPr="009D1E2B">
        <w:t>крестьянским (фермерским) хозяйствам финансовой поддержки за счет бюджетов всех уровн</w:t>
      </w:r>
      <w:r>
        <w:t xml:space="preserve">ей: в 2016 г. финансирование составило </w:t>
      </w:r>
      <w:r w:rsidRPr="001A7594">
        <w:t>114</w:t>
      </w:r>
      <w:r>
        <w:t> </w:t>
      </w:r>
      <w:r w:rsidRPr="001A7594">
        <w:t>328</w:t>
      </w:r>
      <w:r>
        <w:t xml:space="preserve"> тыс. рублей (минус 4,3% к уровню финансирования 2015 года), в 2015г. – </w:t>
      </w:r>
      <w:r w:rsidRPr="001A7594">
        <w:t>119</w:t>
      </w:r>
      <w:r>
        <w:t xml:space="preserve"> </w:t>
      </w:r>
      <w:r w:rsidRPr="001A7594">
        <w:t>447,4</w:t>
      </w:r>
      <w:r>
        <w:t xml:space="preserve"> тыс. рублей (рост на 33,2% к уровню 2014 г.).</w:t>
      </w:r>
    </w:p>
    <w:p w14:paraId="58F100BA" w14:textId="77777777" w:rsidR="00952A09" w:rsidRDefault="00DD6AD8" w:rsidP="00952A09">
      <w:r>
        <w:t>В настоящее время на территории района реализуются следующие инвестиционные проекты в АПК:</w:t>
      </w:r>
    </w:p>
    <w:p w14:paraId="5E341883" w14:textId="77777777" w:rsidR="00952A09" w:rsidRDefault="00DD6AD8" w:rsidP="00952A09">
      <w:pPr>
        <w:pStyle w:val="a0"/>
        <w:numPr>
          <w:ilvl w:val="0"/>
          <w:numId w:val="88"/>
        </w:numPr>
      </w:pPr>
      <w:r>
        <w:t>создание производства по переработке мяса и производству</w:t>
      </w:r>
      <w:r w:rsidRPr="004A39F4">
        <w:t xml:space="preserve"> полуфабрикатов (ИП глава крестьянского (фермерского) хозяйства Логинова Т. В.);</w:t>
      </w:r>
    </w:p>
    <w:p w14:paraId="2FF0E9C0" w14:textId="77777777" w:rsidR="00952A09" w:rsidRDefault="00DD6AD8" w:rsidP="00952A09">
      <w:pPr>
        <w:pStyle w:val="a0"/>
        <w:numPr>
          <w:ilvl w:val="0"/>
          <w:numId w:val="88"/>
        </w:numPr>
      </w:pPr>
      <w:r>
        <w:t>строительство к</w:t>
      </w:r>
      <w:r w:rsidRPr="004A39F4">
        <w:t>омплекс</w:t>
      </w:r>
      <w:r>
        <w:t>а</w:t>
      </w:r>
      <w:r w:rsidRPr="004A39F4">
        <w:t xml:space="preserve"> по приёмке, хранению, переработке и реализации сельскохозяйственной продукции (сельскохозяйственный рыбоохотпромысловый производственный кооператив «Волна»);</w:t>
      </w:r>
    </w:p>
    <w:p w14:paraId="4542DA70" w14:textId="48444650" w:rsidR="00DD6AD8" w:rsidRPr="004A39F4" w:rsidRDefault="00DD6AD8" w:rsidP="00952A09">
      <w:pPr>
        <w:pStyle w:val="a0"/>
        <w:numPr>
          <w:ilvl w:val="0"/>
          <w:numId w:val="88"/>
        </w:numPr>
      </w:pPr>
      <w:r>
        <w:t>строительство двух теплиц</w:t>
      </w:r>
      <w:r w:rsidRPr="004A39F4">
        <w:t xml:space="preserve"> общей площадью 2 400 кв. м. (ИП глава крестьянского (фермерского) хозяйства Логинова Т. В.).</w:t>
      </w:r>
    </w:p>
    <w:p w14:paraId="30C2D534" w14:textId="77777777" w:rsidR="00DD6AD8" w:rsidRPr="001C67A8" w:rsidRDefault="00DD6AD8" w:rsidP="00A93D7F">
      <w:r>
        <w:lastRenderedPageBreak/>
        <w:t>В целях развития агропромышленного сектора на территории района реализуется м</w:t>
      </w:r>
      <w:r w:rsidRPr="009B11E8">
        <w:t>униципальная программа «Развитие агропромышленного комплекса и рынков сельскохозяйственной продукции, сырья и продовольствия в Нефтеюганском районе в 2017-2020 годах» (в редакции постановления Администрации Нефтеюганского района от 20.10.2017 №1830-па-нпа).</w:t>
      </w:r>
      <w:r>
        <w:t xml:space="preserve"> </w:t>
      </w:r>
      <w:r w:rsidRPr="001C67A8">
        <w:t>Стратегическими</w:t>
      </w:r>
      <w:r>
        <w:t xml:space="preserve"> ориентирами программы являются </w:t>
      </w:r>
      <w:r w:rsidRPr="007D2248">
        <w:rPr>
          <w:rFonts w:eastAsia="Calibri"/>
        </w:rPr>
        <w:t>развитие и укреплен</w:t>
      </w:r>
      <w:r>
        <w:t xml:space="preserve">ие материально-технической базы, </w:t>
      </w:r>
      <w:r w:rsidRPr="007D2248">
        <w:rPr>
          <w:rFonts w:eastAsia="Calibri"/>
        </w:rPr>
        <w:t xml:space="preserve">увеличение объемов производства продукции животноводства, </w:t>
      </w:r>
      <w:r w:rsidRPr="001C67A8">
        <w:t xml:space="preserve">стимулирование развития производства пищевых продуктов, </w:t>
      </w:r>
      <w:r>
        <w:t xml:space="preserve">а также </w:t>
      </w:r>
      <w:r w:rsidRPr="001C67A8">
        <w:t>обеспечение предприятий агропромышленного комплекса высококвалифицированными кадрами.</w:t>
      </w:r>
    </w:p>
    <w:p w14:paraId="3D79EF8D" w14:textId="77777777" w:rsidR="00DD6AD8" w:rsidRPr="009B11E8" w:rsidRDefault="00DD6AD8" w:rsidP="00A93D7F">
      <w:r>
        <w:t xml:space="preserve">По итогам 2016 года </w:t>
      </w:r>
      <w:r w:rsidRPr="009B11E8">
        <w:t>муниципальная программа признана результативной, плановые значение были достигнуты или перевыполнены по всем целевым показателям</w:t>
      </w:r>
      <w:r>
        <w:t xml:space="preserve">. В частности, число занятых </w:t>
      </w:r>
      <w:r w:rsidRPr="009B11E8">
        <w:t>в АПК</w:t>
      </w:r>
      <w:r>
        <w:t xml:space="preserve"> было увеличено до 332 человек (план 320 человек), </w:t>
      </w:r>
      <w:r w:rsidRPr="009B11E8">
        <w:t>производства в хозяйствах всех категорий скота и птицы на убой в живом весе</w:t>
      </w:r>
      <w:r>
        <w:t xml:space="preserve"> превысило плановый показатель на 0,63%, молока – на 0,01%, </w:t>
      </w:r>
      <w:r w:rsidRPr="00051A79">
        <w:t>добыч</w:t>
      </w:r>
      <w:r>
        <w:t xml:space="preserve">а </w:t>
      </w:r>
      <w:r w:rsidRPr="00051A79">
        <w:t>(вылов) водных биологических ресурсов</w:t>
      </w:r>
      <w:r>
        <w:t xml:space="preserve"> – на 0,55%, сбору дикоросов – на 0,26%.</w:t>
      </w:r>
    </w:p>
    <w:p w14:paraId="09E7CEE4" w14:textId="77777777" w:rsidR="00DD6AD8" w:rsidRPr="00710777" w:rsidRDefault="00DD6AD8" w:rsidP="00A93D7F">
      <w:r w:rsidRPr="00710777">
        <w:t>В 2016 году на развитие агропромышленного комплекса Нефтеюганского района было выделено из бюджетов всех уровней более 114,0 млн. рублей, что позволило значительно укрепить материально-техническую базу агропромышленного комплекса района: введен цех по прои</w:t>
      </w:r>
      <w:r>
        <w:t>зводству пельменей, приобретены</w:t>
      </w:r>
      <w:r w:rsidRPr="00710777">
        <w:t xml:space="preserve"> грузовые транспортные средства, холодильное оборудование шоковой заморозки и оборудо</w:t>
      </w:r>
      <w:r>
        <w:t>вание для переработки продукции</w:t>
      </w:r>
      <w:r w:rsidRPr="00710777">
        <w:t>.</w:t>
      </w:r>
    </w:p>
    <w:p w14:paraId="1CF8AC10" w14:textId="77777777" w:rsidR="00DD6AD8" w:rsidRPr="001C0672" w:rsidRDefault="00DD6AD8" w:rsidP="00A93D7F">
      <w:r w:rsidRPr="001C0672">
        <w:t>Проблемы развития агропромышленного комплекса связаны с суровыми климатическими условиями территории Нефтеюганского района, что повышает себестоимость се</w:t>
      </w:r>
      <w:r>
        <w:t>льскохозяйственного производства и низкую рентабельность сельскохозяйственных предприятий.</w:t>
      </w:r>
      <w:r w:rsidRPr="009D6349">
        <w:t xml:space="preserve"> </w:t>
      </w:r>
      <w:r w:rsidRPr="001C0672">
        <w:t xml:space="preserve">Основными проблемами </w:t>
      </w:r>
      <w:r>
        <w:t>рыболовецкой</w:t>
      </w:r>
      <w:r w:rsidRPr="001C0672">
        <w:t xml:space="preserve"> промышленности в районе являются зависимость объемов вылова рыбы о</w:t>
      </w:r>
      <w:r>
        <w:t>т погодно-климатических условий и</w:t>
      </w:r>
      <w:r w:rsidRPr="001C0672">
        <w:t xml:space="preserve"> недостаточное применение современных технологий вылова. </w:t>
      </w:r>
    </w:p>
    <w:p w14:paraId="0AEDB43D" w14:textId="77777777" w:rsidR="00DD6AD8" w:rsidRPr="001C0672" w:rsidRDefault="00DD6AD8" w:rsidP="00A93D7F">
      <w:r>
        <w:t>В районе так же н</w:t>
      </w:r>
      <w:r w:rsidRPr="001C0672">
        <w:t xml:space="preserve">едостаточно развита переработка сельскохозяйственной продукции. </w:t>
      </w:r>
    </w:p>
    <w:p w14:paraId="5C283424" w14:textId="77777777" w:rsidR="00DD6AD8" w:rsidRDefault="00DD6AD8" w:rsidP="00A93D7F">
      <w:r>
        <w:t>Угрозой</w:t>
      </w:r>
      <w:r w:rsidRPr="001C0672">
        <w:t xml:space="preserve"> дальнейшего развития сельского хозяйства на территории района также связано с изменениями условий предоставления субсидий в рамках государственной программы агропромышленного комплекса.</w:t>
      </w:r>
    </w:p>
    <w:p w14:paraId="763E5825" w14:textId="77777777" w:rsidR="00030F5E" w:rsidRDefault="00030F5E" w:rsidP="00A93D7F"/>
    <w:p w14:paraId="37CDFE59" w14:textId="77777777" w:rsidR="00030F5E" w:rsidRPr="00952A09" w:rsidRDefault="00030F5E" w:rsidP="00A93D7F">
      <w:pPr>
        <w:rPr>
          <w:i/>
        </w:rPr>
      </w:pPr>
      <w:r w:rsidRPr="00952A09">
        <w:rPr>
          <w:i/>
        </w:rPr>
        <w:t>Строительство и инвестиции</w:t>
      </w:r>
    </w:p>
    <w:p w14:paraId="6675BABC" w14:textId="4D89B06A" w:rsidR="00AE62E5" w:rsidRDefault="00030F5E" w:rsidP="00A93D7F">
      <w:r w:rsidRPr="0092001E">
        <w:t>Объем работ, выполненных по виду деятельности «Строительство» в 2016 г</w:t>
      </w:r>
      <w:r>
        <w:t>г.</w:t>
      </w:r>
      <w:r w:rsidRPr="0092001E">
        <w:t xml:space="preserve"> составил в т</w:t>
      </w:r>
      <w:r>
        <w:t>екущих ценах 3 533,7 млн рублей, что составляет 81,4%</w:t>
      </w:r>
      <w:r w:rsidRPr="00AE7D19">
        <w:t xml:space="preserve"> к </w:t>
      </w:r>
      <w:r>
        <w:t>уровню 2015</w:t>
      </w:r>
      <w:r w:rsidRPr="00AE7D19">
        <w:t xml:space="preserve"> год</w:t>
      </w:r>
      <w:r>
        <w:t>а</w:t>
      </w:r>
      <w:r w:rsidRPr="00AE7D19">
        <w:t xml:space="preserve"> </w:t>
      </w:r>
      <w:r>
        <w:t>(</w:t>
      </w:r>
      <w:r w:rsidRPr="00AE7D19">
        <w:t>в сопоставимых ценах</w:t>
      </w:r>
      <w:r>
        <w:t xml:space="preserve">). В 2017 г. ожидается сохранение негативной тенденции: оценочный показатель объема строительных работ составляет </w:t>
      </w:r>
      <w:r w:rsidRPr="00BF3E7B">
        <w:t>3491,3</w:t>
      </w:r>
      <w:r>
        <w:t xml:space="preserve"> млн рублей (</w:t>
      </w:r>
      <w:r w:rsidRPr="00BF3E7B">
        <w:t>94,3</w:t>
      </w:r>
      <w:r>
        <w:t xml:space="preserve">% </w:t>
      </w:r>
      <w:r w:rsidRPr="00AE7D19">
        <w:t xml:space="preserve">к </w:t>
      </w:r>
      <w:r>
        <w:t>уровню 2016 г.).</w:t>
      </w:r>
    </w:p>
    <w:p w14:paraId="380E2F30" w14:textId="77777777" w:rsidR="007F7FAC" w:rsidRDefault="007F7FAC" w:rsidP="00A93D7F"/>
    <w:p w14:paraId="3AC60C84" w14:textId="64510CDC" w:rsidR="00030F5E" w:rsidRDefault="00AE62E5" w:rsidP="00A93D7F">
      <w:r>
        <w:rPr>
          <w:noProof/>
        </w:rPr>
        <w:lastRenderedPageBreak/>
        <w:drawing>
          <wp:inline distT="0" distB="0" distL="0" distR="0" wp14:anchorId="1BA868B8" wp14:editId="76964EEA">
            <wp:extent cx="4880757" cy="2142588"/>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DAEEA8" w14:textId="77777777" w:rsidR="00030F5E" w:rsidRPr="00952A09" w:rsidRDefault="00030F5E" w:rsidP="00A93D7F">
      <w:pPr>
        <w:rPr>
          <w:b/>
        </w:rPr>
      </w:pPr>
      <w:r w:rsidRPr="00952A09">
        <w:rPr>
          <w:b/>
        </w:rPr>
        <w:t xml:space="preserve">Рисунок </w:t>
      </w:r>
      <w:r w:rsidRPr="00952A09">
        <w:rPr>
          <w:b/>
        </w:rPr>
        <w:fldChar w:fldCharType="begin"/>
      </w:r>
      <w:r w:rsidRPr="00952A09">
        <w:rPr>
          <w:b/>
        </w:rPr>
        <w:instrText xml:space="preserve"> SEQ Рисунок \* ARABIC </w:instrText>
      </w:r>
      <w:r w:rsidRPr="00952A09">
        <w:rPr>
          <w:b/>
        </w:rPr>
        <w:fldChar w:fldCharType="separate"/>
      </w:r>
      <w:r w:rsidR="00ED1BAA">
        <w:rPr>
          <w:b/>
          <w:noProof/>
        </w:rPr>
        <w:t>12</w:t>
      </w:r>
      <w:r w:rsidRPr="00952A09">
        <w:rPr>
          <w:b/>
        </w:rPr>
        <w:fldChar w:fldCharType="end"/>
      </w:r>
      <w:r w:rsidRPr="00952A09">
        <w:rPr>
          <w:b/>
        </w:rPr>
        <w:t xml:space="preserve"> Динамика объёма работ, выполненных по виду деятельности «Строительство», в 2011-2017 гг.</w:t>
      </w:r>
    </w:p>
    <w:p w14:paraId="1C02808B" w14:textId="77777777" w:rsidR="00030F5E" w:rsidRDefault="00030F5E" w:rsidP="00A93D7F"/>
    <w:p w14:paraId="270A2259" w14:textId="77777777" w:rsidR="00030F5E" w:rsidRDefault="00030F5E" w:rsidP="00A93D7F">
      <w:r>
        <w:t>В 2016 г. в действие были введены следующие объекты капитального строительства:</w:t>
      </w:r>
    </w:p>
    <w:p w14:paraId="4AD47F9B" w14:textId="77777777" w:rsidR="00030F5E" w:rsidRPr="00116C36" w:rsidRDefault="00030F5E" w:rsidP="00A93D7F">
      <w:pPr>
        <w:pStyle w:val="a0"/>
        <w:numPr>
          <w:ilvl w:val="0"/>
          <w:numId w:val="19"/>
        </w:numPr>
      </w:pPr>
      <w:r w:rsidRPr="00116C36">
        <w:t>455 нефтяных скважин эксплуатационного бурения (в 2,1 раза выше показателя 2015 года);</w:t>
      </w:r>
    </w:p>
    <w:p w14:paraId="55303DE4" w14:textId="77777777" w:rsidR="00030F5E" w:rsidRPr="00116C36" w:rsidRDefault="00030F5E" w:rsidP="00A93D7F">
      <w:pPr>
        <w:pStyle w:val="a0"/>
        <w:numPr>
          <w:ilvl w:val="0"/>
          <w:numId w:val="19"/>
        </w:numPr>
      </w:pPr>
      <w:r w:rsidRPr="00116C36">
        <w:t>227,8 км. линий электропередачи напряжением 35 кВ и выше (68,3% к уровню 2015 года);</w:t>
      </w:r>
    </w:p>
    <w:p w14:paraId="36C332D7" w14:textId="77777777" w:rsidR="00030F5E" w:rsidRPr="00116C36" w:rsidRDefault="00030F5E" w:rsidP="00A93D7F">
      <w:pPr>
        <w:pStyle w:val="a0"/>
        <w:numPr>
          <w:ilvl w:val="0"/>
          <w:numId w:val="19"/>
        </w:numPr>
      </w:pPr>
      <w:r w:rsidRPr="00116C36">
        <w:t>0,3 тыс. кв. м. торговых площадей;</w:t>
      </w:r>
    </w:p>
    <w:p w14:paraId="798221DE" w14:textId="77777777" w:rsidR="00030F5E" w:rsidRPr="00116C36" w:rsidRDefault="00030F5E" w:rsidP="00A93D7F">
      <w:pPr>
        <w:pStyle w:val="a0"/>
        <w:numPr>
          <w:ilvl w:val="0"/>
          <w:numId w:val="19"/>
        </w:numPr>
      </w:pPr>
      <w:r w:rsidRPr="00116C36">
        <w:t>1 башня сотовой связи.</w:t>
      </w:r>
    </w:p>
    <w:p w14:paraId="105A3198" w14:textId="77777777" w:rsidR="00030F5E" w:rsidRDefault="00030F5E" w:rsidP="00A93D7F">
      <w:r>
        <w:t xml:space="preserve">В 2016 г. в районе было сдано в эксплуатацию </w:t>
      </w:r>
      <w:r w:rsidRPr="00D80B39">
        <w:t>11</w:t>
      </w:r>
      <w:r>
        <w:t> </w:t>
      </w:r>
      <w:r w:rsidRPr="00D80B39">
        <w:t>626</w:t>
      </w:r>
      <w:r>
        <w:t xml:space="preserve"> м. кв. </w:t>
      </w:r>
      <w:r w:rsidRPr="00D80B39">
        <w:t>жил</w:t>
      </w:r>
      <w:r>
        <w:t>ы</w:t>
      </w:r>
      <w:r w:rsidRPr="00D80B39">
        <w:t>х домов</w:t>
      </w:r>
      <w:r>
        <w:t xml:space="preserve">, что на 66% меньше аналогичного показателя 2015 года и на уровне показателя 2014 года. В эксплуатацию были введены 24-квартирный жилой дом (1,1 тыс. кв. м.) в пгт. Пойковский (застройщик ООО «Монтажстройкомплекс»), 2 трёхэтажных жилых дома (2,5 тыс. кв. м.) в п. Юганская Обь и п. Усть-Юган (застройщик ООО «Лесопромышленная компания»), 2 многоквартирных жилых дома в п. Сентябрьский (один дом общей площадью 2,5 тыс. кв. м. – застройщик ООО «ДСК «АВТОБАН», второй – 0,97 тыс. кв. м. – застройщик ООО «Тюменская Строительная компания»). Ввод </w:t>
      </w:r>
      <w:r w:rsidRPr="00D80B39">
        <w:t>индивидуальных жилых домов</w:t>
      </w:r>
      <w:r>
        <w:t xml:space="preserve"> так же сократился на 34% к уровню 2015 г. и составил </w:t>
      </w:r>
      <w:r w:rsidRPr="001C2206">
        <w:t>2</w:t>
      </w:r>
      <w:r>
        <w:t xml:space="preserve"> </w:t>
      </w:r>
      <w:r w:rsidRPr="001C2206">
        <w:t xml:space="preserve">397 </w:t>
      </w:r>
      <w:r>
        <w:t xml:space="preserve">м. кв. </w:t>
      </w:r>
    </w:p>
    <w:p w14:paraId="6F2D5614" w14:textId="77777777" w:rsidR="00030F5E" w:rsidRDefault="00030F5E" w:rsidP="00A93D7F">
      <w:r>
        <w:t>Сокращается число выданных разрешений на строительство: в 2016 г. было выдано 48 разрешений (уровень 2010 года), в 2015 г. – 64, в 2014 г. – 76.</w:t>
      </w:r>
    </w:p>
    <w:p w14:paraId="4726A756" w14:textId="77777777" w:rsidR="00E133E7" w:rsidRDefault="00E133E7" w:rsidP="00A93D7F"/>
    <w:p w14:paraId="7211C454" w14:textId="0E80CF45" w:rsidR="00E133E7" w:rsidRDefault="00E133E7" w:rsidP="00A93D7F">
      <w:r>
        <w:rPr>
          <w:noProof/>
        </w:rPr>
        <w:drawing>
          <wp:inline distT="0" distB="0" distL="0" distR="0" wp14:anchorId="7E9C5331" wp14:editId="09C95451">
            <wp:extent cx="5033157" cy="2538242"/>
            <wp:effectExtent l="0" t="0" r="0" b="1905"/>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0A98C0" w14:textId="77777777" w:rsidR="00030F5E" w:rsidRPr="00952A09" w:rsidRDefault="00030F5E" w:rsidP="00A93D7F">
      <w:pPr>
        <w:rPr>
          <w:b/>
        </w:rPr>
      </w:pPr>
      <w:r w:rsidRPr="00952A09">
        <w:rPr>
          <w:b/>
        </w:rPr>
        <w:t xml:space="preserve">Рисунок </w:t>
      </w:r>
      <w:r w:rsidRPr="00952A09">
        <w:rPr>
          <w:b/>
        </w:rPr>
        <w:fldChar w:fldCharType="begin"/>
      </w:r>
      <w:r w:rsidRPr="00952A09">
        <w:rPr>
          <w:b/>
        </w:rPr>
        <w:instrText xml:space="preserve"> SEQ Рисунок \* ARABIC </w:instrText>
      </w:r>
      <w:r w:rsidRPr="00952A09">
        <w:rPr>
          <w:b/>
        </w:rPr>
        <w:fldChar w:fldCharType="separate"/>
      </w:r>
      <w:r w:rsidR="00ED1BAA">
        <w:rPr>
          <w:b/>
          <w:noProof/>
        </w:rPr>
        <w:t>13</w:t>
      </w:r>
      <w:r w:rsidRPr="00952A09">
        <w:rPr>
          <w:b/>
        </w:rPr>
        <w:fldChar w:fldCharType="end"/>
      </w:r>
      <w:r w:rsidRPr="00952A09">
        <w:rPr>
          <w:b/>
        </w:rPr>
        <w:t xml:space="preserve"> Динамика объемов жилищного строительства в 2011-2016 гг.</w:t>
      </w:r>
    </w:p>
    <w:p w14:paraId="50C8861E" w14:textId="77777777" w:rsidR="00030F5E" w:rsidRDefault="00030F5E" w:rsidP="00A93D7F"/>
    <w:p w14:paraId="70AB60A3" w14:textId="77777777" w:rsidR="00030F5E" w:rsidRPr="004B375E" w:rsidRDefault="00030F5E" w:rsidP="00A93D7F">
      <w:r>
        <w:t>О</w:t>
      </w:r>
      <w:r w:rsidRPr="004B375E">
        <w:t xml:space="preserve">дной из стратегических задач муниципального образования Нефтеюганский район </w:t>
      </w:r>
      <w:r>
        <w:t>является п</w:t>
      </w:r>
      <w:r w:rsidRPr="004B375E">
        <w:t>ривлечение инвестиций в экономику района. В 2016 году достигнуты положительные результаты в сфере создания благоприятного инвестиционного климата. Ключевым показателем результативности проводимых мероприятий в указанной области является рост объема инвестиций в основной капитал.</w:t>
      </w:r>
    </w:p>
    <w:p w14:paraId="79A72E8B" w14:textId="6BD9D031" w:rsidR="00030F5E" w:rsidRDefault="00030F5E" w:rsidP="00A93D7F">
      <w:r>
        <w:t xml:space="preserve">По объёму инвестиций в основной капитал Нефтеюганске район занимает 2 место среди муниципальных образований автономного округа (на первой позиции Сургутский район). </w:t>
      </w:r>
      <w:r w:rsidRPr="00BA7275">
        <w:t>Объем инвестиций в основной капитал</w:t>
      </w:r>
      <w:r>
        <w:t xml:space="preserve"> предприятий района</w:t>
      </w:r>
      <w:r w:rsidRPr="00BA7275">
        <w:t xml:space="preserve"> за 2016 </w:t>
      </w:r>
      <w:r>
        <w:t>г.</w:t>
      </w:r>
      <w:r w:rsidRPr="00BA7275">
        <w:t xml:space="preserve"> составил 111 395,9</w:t>
      </w:r>
      <w:r>
        <w:t xml:space="preserve"> </w:t>
      </w:r>
      <w:r w:rsidRPr="00BA7275">
        <w:t>млн.</w:t>
      </w:r>
      <w:r>
        <w:t xml:space="preserve"> </w:t>
      </w:r>
      <w:r w:rsidRPr="00BA7275">
        <w:t xml:space="preserve">рублей или 119,4 % в сопоставимых ценах к уровню 2015 </w:t>
      </w:r>
      <w:r>
        <w:t>г</w:t>
      </w:r>
      <w:r w:rsidRPr="00BA7275">
        <w:t>. Отклонение фактич</w:t>
      </w:r>
      <w:r>
        <w:t xml:space="preserve">еского показателя от планового на 2016 г. на 49,3%, </w:t>
      </w:r>
      <w:r w:rsidRPr="00BA7275">
        <w:t>обусловлено ростом объема инвестиций в нефтедобывающее производство в связи с освоением крупными компаниями, осуществляющие добычу нефти на территории района, новых технологий, нацеленных на повышение нефтеотдачи.</w:t>
      </w:r>
      <w:r>
        <w:t xml:space="preserve"> </w:t>
      </w:r>
      <w:r w:rsidRPr="008D0A5E">
        <w:t>По</w:t>
      </w:r>
      <w:r>
        <w:t xml:space="preserve"> оценке в 2017 г. объём инвестиций в основной капитал составит 118 744,7 млн</w:t>
      </w:r>
      <w:r w:rsidR="00411319">
        <w:t>. рублей, но темп роста замедлит</w:t>
      </w:r>
      <w:r>
        <w:t>ся до 100,1%.</w:t>
      </w:r>
    </w:p>
    <w:p w14:paraId="1DB188E7" w14:textId="77777777" w:rsidR="00030F5E" w:rsidRDefault="00030F5E" w:rsidP="00A93D7F">
      <w:r w:rsidRPr="004E2B3A">
        <w:t>Объем инвестиций в основной капитал (за исключением б</w:t>
      </w:r>
      <w:r>
        <w:t>юджетных средств) в расчете на одного</w:t>
      </w:r>
      <w:r w:rsidRPr="004E2B3A">
        <w:t xml:space="preserve"> жителя вырос в 1,3 раза по сравнению с предыдущим годом и составил 2 464,7 тыс. рублей, что превысило прогнозные значения на 2016 и 2020 годы на 48,8% и на 3,5% соответственно.</w:t>
      </w:r>
    </w:p>
    <w:p w14:paraId="7E4A438D" w14:textId="77777777" w:rsidR="00952A09" w:rsidRDefault="00952A09" w:rsidP="00A93D7F"/>
    <w:p w14:paraId="3EDDC9E1" w14:textId="13DE5F65" w:rsidR="00030F5E" w:rsidRDefault="00471B91" w:rsidP="00A93D7F">
      <w:r>
        <w:rPr>
          <w:noProof/>
        </w:rPr>
        <w:drawing>
          <wp:inline distT="0" distB="0" distL="0" distR="0" wp14:anchorId="63E633B7" wp14:editId="3ADB7615">
            <wp:extent cx="4804557" cy="2353603"/>
            <wp:effectExtent l="0" t="0" r="0" b="889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968CE9" w14:textId="77777777" w:rsidR="00030F5E" w:rsidRPr="007F7FAC" w:rsidRDefault="00030F5E" w:rsidP="00A93D7F">
      <w:pPr>
        <w:rPr>
          <w:rFonts w:eastAsia="Times New Roman"/>
          <w:b/>
        </w:rPr>
      </w:pPr>
      <w:r w:rsidRPr="007F7FAC">
        <w:rPr>
          <w:b/>
        </w:rPr>
        <w:t xml:space="preserve">Рисунок </w:t>
      </w:r>
      <w:r w:rsidRPr="007F7FAC">
        <w:rPr>
          <w:b/>
        </w:rPr>
        <w:fldChar w:fldCharType="begin"/>
      </w:r>
      <w:r w:rsidRPr="007F7FAC">
        <w:rPr>
          <w:b/>
        </w:rPr>
        <w:instrText xml:space="preserve"> SEQ Рисунок \* ARABIC </w:instrText>
      </w:r>
      <w:r w:rsidRPr="007F7FAC">
        <w:rPr>
          <w:b/>
        </w:rPr>
        <w:fldChar w:fldCharType="separate"/>
      </w:r>
      <w:r w:rsidR="00ED1BAA">
        <w:rPr>
          <w:b/>
          <w:noProof/>
        </w:rPr>
        <w:t>14</w:t>
      </w:r>
      <w:r w:rsidRPr="007F7FAC">
        <w:rPr>
          <w:b/>
        </w:rPr>
        <w:fldChar w:fldCharType="end"/>
      </w:r>
      <w:r w:rsidRPr="007F7FAC">
        <w:rPr>
          <w:b/>
        </w:rPr>
        <w:t xml:space="preserve"> Динамика объема </w:t>
      </w:r>
      <w:r w:rsidRPr="007F7FAC">
        <w:rPr>
          <w:rFonts w:eastAsia="Times New Roman"/>
          <w:b/>
        </w:rPr>
        <w:t>инвестиции в основной капитал в 2011-2017 гг.</w:t>
      </w:r>
    </w:p>
    <w:p w14:paraId="73A8AE1E" w14:textId="77777777" w:rsidR="00030F5E" w:rsidRDefault="00030F5E" w:rsidP="00A93D7F"/>
    <w:p w14:paraId="292CAF2F" w14:textId="77777777" w:rsidR="00030F5E" w:rsidRDefault="00030F5E" w:rsidP="00A93D7F">
      <w:r>
        <w:t>В структуре инвестиций в основной капитал в 2016 г. преобладала добывающая промышленность (</w:t>
      </w:r>
      <w:r w:rsidRPr="00A5192A">
        <w:t>удельн</w:t>
      </w:r>
      <w:r>
        <w:t>ый вес инвестиций составил 90,4</w:t>
      </w:r>
      <w:r w:rsidRPr="00A5192A">
        <w:t xml:space="preserve">% от общего объема инвестиций в основной капитал в 2016 </w:t>
      </w:r>
      <w:r>
        <w:t>г.</w:t>
      </w:r>
      <w:r w:rsidRPr="00A5192A">
        <w:t>, что превыш</w:t>
      </w:r>
      <w:r>
        <w:t>ает показатель 2015 г. на 7,3%</w:t>
      </w:r>
      <w:r w:rsidRPr="00A5192A">
        <w:t>)</w:t>
      </w:r>
      <w:r>
        <w:t xml:space="preserve">, а </w:t>
      </w:r>
      <w:r w:rsidRPr="002B01C1">
        <w:t xml:space="preserve">также </w:t>
      </w:r>
      <w:r>
        <w:t>инвестиции, направленные на развитие транспортной инфраструктуры и связи (</w:t>
      </w:r>
      <w:r w:rsidRPr="00A5192A">
        <w:t>удель</w:t>
      </w:r>
      <w:r>
        <w:t>ный вес инвестиций составил 8,6</w:t>
      </w:r>
      <w:r w:rsidRPr="00A5192A">
        <w:t>%</w:t>
      </w:r>
      <w:r>
        <w:t>). Резкое сокращение инвестиций по отношению к предыдущим периодам произошло в отрасли обрабатывающих производств.</w:t>
      </w:r>
    </w:p>
    <w:p w14:paraId="32496256" w14:textId="77777777" w:rsidR="00030F5E" w:rsidRDefault="00030F5E" w:rsidP="00A93D7F"/>
    <w:p w14:paraId="444E42ED" w14:textId="77777777" w:rsidR="00030F5E" w:rsidRDefault="00030F5E" w:rsidP="00A93D7F">
      <w:pPr>
        <w:pStyle w:val="ac"/>
      </w:pPr>
      <w:r w:rsidRPr="00FB0821">
        <w:t xml:space="preserve">Таблица </w:t>
      </w:r>
      <w:fldSimple w:instr=" SEQ Таблица \* ARABIC ">
        <w:r w:rsidR="00ED1BAA">
          <w:rPr>
            <w:noProof/>
          </w:rPr>
          <w:t>7</w:t>
        </w:r>
      </w:fldSimple>
      <w:r w:rsidRPr="00FB0821">
        <w:t xml:space="preserve"> </w:t>
      </w:r>
    </w:p>
    <w:p w14:paraId="096A5518" w14:textId="77777777" w:rsidR="00030F5E" w:rsidRPr="00FB0821" w:rsidRDefault="00030F5E" w:rsidP="00A93D7F">
      <w:pPr>
        <w:pStyle w:val="ac"/>
      </w:pPr>
      <w:r w:rsidRPr="00FB0821">
        <w:t>Отраслевая структура инвестиций в основной капитал, млн. рублей</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1275"/>
        <w:gridCol w:w="1276"/>
        <w:gridCol w:w="1134"/>
        <w:gridCol w:w="1695"/>
      </w:tblGrid>
      <w:tr w:rsidR="00030F5E" w:rsidRPr="001C523D" w14:paraId="294418D1" w14:textId="77777777" w:rsidTr="00E213C4">
        <w:trPr>
          <w:trHeight w:val="297"/>
          <w:jc w:val="center"/>
        </w:trPr>
        <w:tc>
          <w:tcPr>
            <w:tcW w:w="3691" w:type="dxa"/>
            <w:shd w:val="clear" w:color="auto" w:fill="auto"/>
            <w:vAlign w:val="center"/>
          </w:tcPr>
          <w:p w14:paraId="4F4F28C6" w14:textId="77777777" w:rsidR="00030F5E" w:rsidRPr="001C523D" w:rsidRDefault="00030F5E" w:rsidP="00952A09">
            <w:pPr>
              <w:pStyle w:val="af7"/>
            </w:pPr>
            <w:r w:rsidRPr="001C523D">
              <w:t>Вид экономической деятельности</w:t>
            </w:r>
          </w:p>
        </w:tc>
        <w:tc>
          <w:tcPr>
            <w:tcW w:w="1275" w:type="dxa"/>
            <w:vAlign w:val="center"/>
          </w:tcPr>
          <w:p w14:paraId="2ADC1078" w14:textId="77777777" w:rsidR="00030F5E" w:rsidRPr="001C523D" w:rsidRDefault="00030F5E" w:rsidP="00952A09">
            <w:pPr>
              <w:pStyle w:val="af7"/>
              <w:jc w:val="center"/>
            </w:pPr>
            <w:r w:rsidRPr="001C523D">
              <w:t>2014 год</w:t>
            </w:r>
          </w:p>
        </w:tc>
        <w:tc>
          <w:tcPr>
            <w:tcW w:w="1276" w:type="dxa"/>
            <w:shd w:val="clear" w:color="auto" w:fill="auto"/>
            <w:vAlign w:val="center"/>
          </w:tcPr>
          <w:p w14:paraId="57708B95" w14:textId="77777777" w:rsidR="00030F5E" w:rsidRPr="001C523D" w:rsidRDefault="00030F5E" w:rsidP="00952A09">
            <w:pPr>
              <w:pStyle w:val="af7"/>
              <w:jc w:val="center"/>
            </w:pPr>
            <w:r w:rsidRPr="001C523D">
              <w:t>2015 год</w:t>
            </w:r>
          </w:p>
        </w:tc>
        <w:tc>
          <w:tcPr>
            <w:tcW w:w="1134" w:type="dxa"/>
            <w:vAlign w:val="center"/>
          </w:tcPr>
          <w:p w14:paraId="13A7B19E" w14:textId="77777777" w:rsidR="00030F5E" w:rsidRPr="001C523D" w:rsidRDefault="00030F5E" w:rsidP="00952A09">
            <w:pPr>
              <w:pStyle w:val="af7"/>
              <w:jc w:val="center"/>
            </w:pPr>
            <w:r w:rsidRPr="001C523D">
              <w:t>2016 год</w:t>
            </w:r>
          </w:p>
        </w:tc>
        <w:tc>
          <w:tcPr>
            <w:tcW w:w="1695" w:type="dxa"/>
          </w:tcPr>
          <w:p w14:paraId="2355AFC0" w14:textId="77777777" w:rsidR="00030F5E" w:rsidRPr="001C523D" w:rsidRDefault="00030F5E" w:rsidP="00952A09">
            <w:pPr>
              <w:pStyle w:val="af7"/>
              <w:jc w:val="center"/>
            </w:pPr>
            <w:r w:rsidRPr="001C523D">
              <w:t>Удельный вес в 2016 г., %</w:t>
            </w:r>
          </w:p>
        </w:tc>
      </w:tr>
      <w:tr w:rsidR="00030F5E" w:rsidRPr="001C523D" w14:paraId="552773DC" w14:textId="77777777" w:rsidTr="00A73A01">
        <w:trPr>
          <w:trHeight w:val="407"/>
          <w:jc w:val="center"/>
        </w:trPr>
        <w:tc>
          <w:tcPr>
            <w:tcW w:w="3691" w:type="dxa"/>
            <w:shd w:val="clear" w:color="auto" w:fill="auto"/>
            <w:vAlign w:val="center"/>
          </w:tcPr>
          <w:p w14:paraId="3478C904" w14:textId="77777777" w:rsidR="00030F5E" w:rsidRPr="001C523D" w:rsidRDefault="00030F5E" w:rsidP="00A73A01">
            <w:pPr>
              <w:pStyle w:val="af7"/>
              <w:jc w:val="left"/>
            </w:pPr>
            <w:r w:rsidRPr="001C523D">
              <w:t xml:space="preserve">Всего </w:t>
            </w:r>
          </w:p>
        </w:tc>
        <w:tc>
          <w:tcPr>
            <w:tcW w:w="1275" w:type="dxa"/>
            <w:vAlign w:val="center"/>
          </w:tcPr>
          <w:p w14:paraId="18C4760C" w14:textId="77777777" w:rsidR="00030F5E" w:rsidRPr="001C523D" w:rsidRDefault="00030F5E" w:rsidP="00952A09">
            <w:pPr>
              <w:pStyle w:val="af7"/>
              <w:jc w:val="center"/>
            </w:pPr>
            <w:r w:rsidRPr="001C523D">
              <w:t>69 931</w:t>
            </w:r>
          </w:p>
        </w:tc>
        <w:tc>
          <w:tcPr>
            <w:tcW w:w="1276" w:type="dxa"/>
            <w:shd w:val="clear" w:color="auto" w:fill="auto"/>
            <w:vAlign w:val="center"/>
          </w:tcPr>
          <w:p w14:paraId="43F16ACC" w14:textId="77777777" w:rsidR="00030F5E" w:rsidRPr="001C523D" w:rsidRDefault="00030F5E" w:rsidP="00952A09">
            <w:pPr>
              <w:pStyle w:val="af7"/>
              <w:jc w:val="center"/>
            </w:pPr>
            <w:r w:rsidRPr="001C523D">
              <w:t>88 007</w:t>
            </w:r>
          </w:p>
        </w:tc>
        <w:tc>
          <w:tcPr>
            <w:tcW w:w="1134" w:type="dxa"/>
            <w:vAlign w:val="center"/>
          </w:tcPr>
          <w:p w14:paraId="1F9AF60B" w14:textId="77777777" w:rsidR="00030F5E" w:rsidRPr="001C523D" w:rsidRDefault="00030F5E" w:rsidP="00952A09">
            <w:pPr>
              <w:pStyle w:val="af7"/>
              <w:jc w:val="center"/>
            </w:pPr>
            <w:r w:rsidRPr="001C523D">
              <w:t>111 396</w:t>
            </w:r>
          </w:p>
        </w:tc>
        <w:tc>
          <w:tcPr>
            <w:tcW w:w="1695" w:type="dxa"/>
            <w:vAlign w:val="center"/>
          </w:tcPr>
          <w:p w14:paraId="16DDC6FC" w14:textId="77777777" w:rsidR="00030F5E" w:rsidRPr="001C523D" w:rsidRDefault="00030F5E" w:rsidP="00952A09">
            <w:pPr>
              <w:pStyle w:val="af7"/>
              <w:jc w:val="center"/>
            </w:pPr>
          </w:p>
        </w:tc>
      </w:tr>
      <w:tr w:rsidR="00030F5E" w:rsidRPr="001C523D" w14:paraId="74EB6469" w14:textId="77777777" w:rsidTr="00A73A01">
        <w:trPr>
          <w:jc w:val="center"/>
        </w:trPr>
        <w:tc>
          <w:tcPr>
            <w:tcW w:w="3691" w:type="dxa"/>
            <w:shd w:val="clear" w:color="auto" w:fill="auto"/>
            <w:vAlign w:val="center"/>
          </w:tcPr>
          <w:p w14:paraId="65948F3E" w14:textId="77777777" w:rsidR="00030F5E" w:rsidRPr="001C523D" w:rsidRDefault="00030F5E" w:rsidP="00A73A01">
            <w:pPr>
              <w:pStyle w:val="af7"/>
              <w:jc w:val="left"/>
            </w:pPr>
            <w:r w:rsidRPr="001C523D">
              <w:t>в том числе по видам экономической деятельности:</w:t>
            </w:r>
          </w:p>
        </w:tc>
        <w:tc>
          <w:tcPr>
            <w:tcW w:w="1275" w:type="dxa"/>
            <w:vAlign w:val="center"/>
          </w:tcPr>
          <w:p w14:paraId="0F4832F0" w14:textId="77777777" w:rsidR="00030F5E" w:rsidRPr="001C523D" w:rsidRDefault="00030F5E" w:rsidP="00952A09">
            <w:pPr>
              <w:pStyle w:val="af7"/>
              <w:jc w:val="center"/>
            </w:pPr>
          </w:p>
        </w:tc>
        <w:tc>
          <w:tcPr>
            <w:tcW w:w="1276" w:type="dxa"/>
            <w:shd w:val="clear" w:color="auto" w:fill="auto"/>
            <w:vAlign w:val="center"/>
          </w:tcPr>
          <w:p w14:paraId="5FD6ECDD" w14:textId="77777777" w:rsidR="00030F5E" w:rsidRPr="001C523D" w:rsidRDefault="00030F5E" w:rsidP="00952A09">
            <w:pPr>
              <w:pStyle w:val="af7"/>
              <w:jc w:val="center"/>
            </w:pPr>
          </w:p>
        </w:tc>
        <w:tc>
          <w:tcPr>
            <w:tcW w:w="1134" w:type="dxa"/>
            <w:vAlign w:val="center"/>
          </w:tcPr>
          <w:p w14:paraId="5349C5A8" w14:textId="77777777" w:rsidR="00030F5E" w:rsidRPr="001C523D" w:rsidRDefault="00030F5E" w:rsidP="00952A09">
            <w:pPr>
              <w:pStyle w:val="af7"/>
              <w:jc w:val="center"/>
            </w:pPr>
          </w:p>
        </w:tc>
        <w:tc>
          <w:tcPr>
            <w:tcW w:w="1695" w:type="dxa"/>
            <w:vAlign w:val="center"/>
          </w:tcPr>
          <w:p w14:paraId="5030A309" w14:textId="77777777" w:rsidR="00030F5E" w:rsidRPr="001C523D" w:rsidRDefault="00030F5E" w:rsidP="00952A09">
            <w:pPr>
              <w:pStyle w:val="af7"/>
              <w:jc w:val="center"/>
            </w:pPr>
          </w:p>
        </w:tc>
      </w:tr>
      <w:tr w:rsidR="00030F5E" w:rsidRPr="001C523D" w14:paraId="50ABC7FA" w14:textId="77777777" w:rsidTr="00A73A01">
        <w:trPr>
          <w:trHeight w:val="366"/>
          <w:jc w:val="center"/>
        </w:trPr>
        <w:tc>
          <w:tcPr>
            <w:tcW w:w="3691" w:type="dxa"/>
            <w:shd w:val="clear" w:color="auto" w:fill="auto"/>
            <w:vAlign w:val="center"/>
          </w:tcPr>
          <w:p w14:paraId="05780FAD" w14:textId="77777777" w:rsidR="00030F5E" w:rsidRPr="001C523D" w:rsidRDefault="00030F5E" w:rsidP="00A73A01">
            <w:pPr>
              <w:pStyle w:val="af7"/>
              <w:jc w:val="left"/>
            </w:pPr>
            <w:r w:rsidRPr="001C523D">
              <w:t>Добыча полезных ископаемых</w:t>
            </w:r>
          </w:p>
        </w:tc>
        <w:tc>
          <w:tcPr>
            <w:tcW w:w="1275" w:type="dxa"/>
            <w:vAlign w:val="center"/>
          </w:tcPr>
          <w:p w14:paraId="69FE1951" w14:textId="77777777" w:rsidR="00030F5E" w:rsidRPr="001C523D" w:rsidRDefault="00030F5E" w:rsidP="00952A09">
            <w:pPr>
              <w:pStyle w:val="af7"/>
              <w:jc w:val="center"/>
            </w:pPr>
            <w:r w:rsidRPr="001C523D">
              <w:t>58 595</w:t>
            </w:r>
          </w:p>
        </w:tc>
        <w:tc>
          <w:tcPr>
            <w:tcW w:w="1276" w:type="dxa"/>
            <w:shd w:val="clear" w:color="auto" w:fill="auto"/>
            <w:vAlign w:val="center"/>
          </w:tcPr>
          <w:p w14:paraId="541E1E7A" w14:textId="77777777" w:rsidR="00030F5E" w:rsidRPr="001C523D" w:rsidRDefault="00030F5E" w:rsidP="00952A09">
            <w:pPr>
              <w:pStyle w:val="af7"/>
              <w:jc w:val="center"/>
            </w:pPr>
            <w:r w:rsidRPr="001C523D">
              <w:t>73 160</w:t>
            </w:r>
          </w:p>
        </w:tc>
        <w:tc>
          <w:tcPr>
            <w:tcW w:w="1134" w:type="dxa"/>
            <w:vAlign w:val="center"/>
          </w:tcPr>
          <w:p w14:paraId="2284174C" w14:textId="77777777" w:rsidR="00030F5E" w:rsidRPr="001C523D" w:rsidRDefault="00030F5E" w:rsidP="00952A09">
            <w:pPr>
              <w:pStyle w:val="af7"/>
              <w:jc w:val="center"/>
            </w:pPr>
            <w:r w:rsidRPr="001C523D">
              <w:t>100 745</w:t>
            </w:r>
          </w:p>
        </w:tc>
        <w:tc>
          <w:tcPr>
            <w:tcW w:w="1695" w:type="dxa"/>
            <w:vAlign w:val="center"/>
          </w:tcPr>
          <w:p w14:paraId="407E8471" w14:textId="69F3B46F" w:rsidR="00030F5E" w:rsidRPr="001C523D" w:rsidRDefault="00C36765" w:rsidP="00952A09">
            <w:pPr>
              <w:pStyle w:val="af7"/>
              <w:jc w:val="center"/>
            </w:pPr>
            <w:r w:rsidRPr="001C523D">
              <w:t>90,44%</w:t>
            </w:r>
          </w:p>
        </w:tc>
      </w:tr>
      <w:tr w:rsidR="00030F5E" w:rsidRPr="001C523D" w14:paraId="1084D160" w14:textId="77777777" w:rsidTr="00A73A01">
        <w:trPr>
          <w:trHeight w:val="379"/>
          <w:jc w:val="center"/>
        </w:trPr>
        <w:tc>
          <w:tcPr>
            <w:tcW w:w="3691" w:type="dxa"/>
            <w:shd w:val="clear" w:color="auto" w:fill="auto"/>
            <w:vAlign w:val="center"/>
          </w:tcPr>
          <w:p w14:paraId="6923B55C" w14:textId="77777777" w:rsidR="00030F5E" w:rsidRPr="001C523D" w:rsidRDefault="00030F5E" w:rsidP="00A73A01">
            <w:pPr>
              <w:pStyle w:val="af7"/>
              <w:jc w:val="left"/>
            </w:pPr>
            <w:r w:rsidRPr="001C523D">
              <w:lastRenderedPageBreak/>
              <w:t>Обрабатывающее производство</w:t>
            </w:r>
          </w:p>
        </w:tc>
        <w:tc>
          <w:tcPr>
            <w:tcW w:w="1275" w:type="dxa"/>
            <w:vAlign w:val="center"/>
          </w:tcPr>
          <w:p w14:paraId="19F167B6" w14:textId="77777777" w:rsidR="00030F5E" w:rsidRPr="001C523D" w:rsidRDefault="00030F5E" w:rsidP="00952A09">
            <w:pPr>
              <w:pStyle w:val="af7"/>
              <w:jc w:val="center"/>
            </w:pPr>
            <w:r w:rsidRPr="001C523D">
              <w:t>2 144</w:t>
            </w:r>
          </w:p>
        </w:tc>
        <w:tc>
          <w:tcPr>
            <w:tcW w:w="1276" w:type="dxa"/>
            <w:shd w:val="clear" w:color="auto" w:fill="auto"/>
            <w:vAlign w:val="center"/>
          </w:tcPr>
          <w:p w14:paraId="5D246A10" w14:textId="77777777" w:rsidR="00030F5E" w:rsidRPr="001C523D" w:rsidRDefault="00030F5E" w:rsidP="00952A09">
            <w:pPr>
              <w:pStyle w:val="af7"/>
              <w:jc w:val="center"/>
            </w:pPr>
            <w:r w:rsidRPr="001C523D">
              <w:t>1 069</w:t>
            </w:r>
          </w:p>
        </w:tc>
        <w:tc>
          <w:tcPr>
            <w:tcW w:w="1134" w:type="dxa"/>
            <w:vAlign w:val="center"/>
          </w:tcPr>
          <w:p w14:paraId="5905C373" w14:textId="77777777" w:rsidR="00030F5E" w:rsidRPr="001C523D" w:rsidRDefault="00030F5E" w:rsidP="00952A09">
            <w:pPr>
              <w:pStyle w:val="af7"/>
              <w:jc w:val="center"/>
            </w:pPr>
            <w:r w:rsidRPr="001C523D">
              <w:t>19</w:t>
            </w:r>
          </w:p>
        </w:tc>
        <w:tc>
          <w:tcPr>
            <w:tcW w:w="1695" w:type="dxa"/>
            <w:vAlign w:val="center"/>
          </w:tcPr>
          <w:p w14:paraId="4D27F23C" w14:textId="4348FD67" w:rsidR="00030F5E" w:rsidRPr="001C523D" w:rsidRDefault="00505027" w:rsidP="00952A09">
            <w:pPr>
              <w:pStyle w:val="af7"/>
              <w:jc w:val="center"/>
            </w:pPr>
            <w:r w:rsidRPr="001C523D">
              <w:t>0,02%</w:t>
            </w:r>
          </w:p>
        </w:tc>
      </w:tr>
      <w:tr w:rsidR="00030F5E" w:rsidRPr="001C523D" w14:paraId="775FD561" w14:textId="77777777" w:rsidTr="00A73A01">
        <w:trPr>
          <w:jc w:val="center"/>
        </w:trPr>
        <w:tc>
          <w:tcPr>
            <w:tcW w:w="3691" w:type="dxa"/>
            <w:shd w:val="clear" w:color="auto" w:fill="auto"/>
            <w:vAlign w:val="center"/>
          </w:tcPr>
          <w:p w14:paraId="526100BA" w14:textId="77777777" w:rsidR="00030F5E" w:rsidRPr="001C523D" w:rsidRDefault="00030F5E" w:rsidP="00A73A01">
            <w:pPr>
              <w:pStyle w:val="af7"/>
              <w:jc w:val="left"/>
            </w:pPr>
            <w:r w:rsidRPr="001C523D">
              <w:t>Производство и распределение электроэнергии, газа и воды</w:t>
            </w:r>
          </w:p>
        </w:tc>
        <w:tc>
          <w:tcPr>
            <w:tcW w:w="1275" w:type="dxa"/>
            <w:vAlign w:val="center"/>
          </w:tcPr>
          <w:p w14:paraId="6E65C9E4" w14:textId="77777777" w:rsidR="00030F5E" w:rsidRPr="001C523D" w:rsidRDefault="00030F5E" w:rsidP="00952A09">
            <w:pPr>
              <w:pStyle w:val="af7"/>
              <w:jc w:val="center"/>
            </w:pPr>
            <w:r w:rsidRPr="001C523D">
              <w:t>935</w:t>
            </w:r>
          </w:p>
        </w:tc>
        <w:tc>
          <w:tcPr>
            <w:tcW w:w="1276" w:type="dxa"/>
            <w:shd w:val="clear" w:color="auto" w:fill="auto"/>
            <w:vAlign w:val="center"/>
          </w:tcPr>
          <w:p w14:paraId="51FF265D" w14:textId="77777777" w:rsidR="00030F5E" w:rsidRPr="001C523D" w:rsidRDefault="00030F5E" w:rsidP="00952A09">
            <w:pPr>
              <w:pStyle w:val="af7"/>
              <w:jc w:val="center"/>
            </w:pPr>
            <w:r w:rsidRPr="001C523D">
              <w:t>3 264</w:t>
            </w:r>
          </w:p>
        </w:tc>
        <w:tc>
          <w:tcPr>
            <w:tcW w:w="1134" w:type="dxa"/>
            <w:vAlign w:val="center"/>
          </w:tcPr>
          <w:p w14:paraId="446FA569" w14:textId="77777777" w:rsidR="00030F5E" w:rsidRPr="001C523D" w:rsidRDefault="00030F5E" w:rsidP="00952A09">
            <w:pPr>
              <w:pStyle w:val="af7"/>
              <w:jc w:val="center"/>
            </w:pPr>
            <w:r w:rsidRPr="001C523D">
              <w:t>-</w:t>
            </w:r>
          </w:p>
        </w:tc>
        <w:tc>
          <w:tcPr>
            <w:tcW w:w="1695" w:type="dxa"/>
            <w:vAlign w:val="center"/>
          </w:tcPr>
          <w:p w14:paraId="0A298F01" w14:textId="77777777" w:rsidR="00030F5E" w:rsidRPr="001C523D" w:rsidRDefault="00030F5E" w:rsidP="00952A09">
            <w:pPr>
              <w:pStyle w:val="af7"/>
              <w:jc w:val="center"/>
            </w:pPr>
          </w:p>
        </w:tc>
      </w:tr>
      <w:tr w:rsidR="00030F5E" w:rsidRPr="001C523D" w14:paraId="161A1EA2" w14:textId="77777777" w:rsidTr="00A73A01">
        <w:trPr>
          <w:trHeight w:val="407"/>
          <w:jc w:val="center"/>
        </w:trPr>
        <w:tc>
          <w:tcPr>
            <w:tcW w:w="3691" w:type="dxa"/>
            <w:shd w:val="clear" w:color="auto" w:fill="auto"/>
            <w:vAlign w:val="center"/>
          </w:tcPr>
          <w:p w14:paraId="3289D709" w14:textId="77777777" w:rsidR="00030F5E" w:rsidRPr="001C523D" w:rsidRDefault="00030F5E" w:rsidP="00A73A01">
            <w:pPr>
              <w:pStyle w:val="af7"/>
              <w:jc w:val="left"/>
            </w:pPr>
            <w:r w:rsidRPr="001C523D">
              <w:t>Строительство</w:t>
            </w:r>
          </w:p>
        </w:tc>
        <w:tc>
          <w:tcPr>
            <w:tcW w:w="1275" w:type="dxa"/>
            <w:vAlign w:val="center"/>
          </w:tcPr>
          <w:p w14:paraId="6D0B4437" w14:textId="77777777" w:rsidR="00030F5E" w:rsidRPr="001C523D" w:rsidRDefault="00030F5E" w:rsidP="00952A09">
            <w:pPr>
              <w:pStyle w:val="af7"/>
              <w:jc w:val="center"/>
            </w:pPr>
            <w:r w:rsidRPr="001C523D">
              <w:t>524</w:t>
            </w:r>
          </w:p>
        </w:tc>
        <w:tc>
          <w:tcPr>
            <w:tcW w:w="1276" w:type="dxa"/>
            <w:shd w:val="clear" w:color="auto" w:fill="auto"/>
            <w:vAlign w:val="center"/>
          </w:tcPr>
          <w:p w14:paraId="6444EAEA" w14:textId="77777777" w:rsidR="00030F5E" w:rsidRPr="001C523D" w:rsidRDefault="00030F5E" w:rsidP="00952A09">
            <w:pPr>
              <w:pStyle w:val="af7"/>
              <w:jc w:val="center"/>
            </w:pPr>
            <w:r w:rsidRPr="001C523D">
              <w:t>574</w:t>
            </w:r>
          </w:p>
        </w:tc>
        <w:tc>
          <w:tcPr>
            <w:tcW w:w="1134" w:type="dxa"/>
            <w:vAlign w:val="center"/>
          </w:tcPr>
          <w:p w14:paraId="42F4F371" w14:textId="77777777" w:rsidR="00030F5E" w:rsidRPr="001C523D" w:rsidRDefault="00030F5E" w:rsidP="00952A09">
            <w:pPr>
              <w:pStyle w:val="af7"/>
              <w:jc w:val="center"/>
            </w:pPr>
            <w:r w:rsidRPr="001C523D">
              <w:t>753</w:t>
            </w:r>
          </w:p>
        </w:tc>
        <w:tc>
          <w:tcPr>
            <w:tcW w:w="1695" w:type="dxa"/>
            <w:vAlign w:val="center"/>
          </w:tcPr>
          <w:p w14:paraId="4A2C071F" w14:textId="17661BE6" w:rsidR="00030F5E" w:rsidRPr="001C523D" w:rsidRDefault="00505027" w:rsidP="00952A09">
            <w:pPr>
              <w:pStyle w:val="af7"/>
              <w:jc w:val="center"/>
            </w:pPr>
            <w:r w:rsidRPr="001C523D">
              <w:t>0,68%</w:t>
            </w:r>
          </w:p>
        </w:tc>
      </w:tr>
      <w:tr w:rsidR="00030F5E" w:rsidRPr="001C523D" w14:paraId="5D02356E" w14:textId="77777777" w:rsidTr="00A73A01">
        <w:trPr>
          <w:trHeight w:val="408"/>
          <w:jc w:val="center"/>
        </w:trPr>
        <w:tc>
          <w:tcPr>
            <w:tcW w:w="3691" w:type="dxa"/>
            <w:shd w:val="clear" w:color="auto" w:fill="auto"/>
            <w:vAlign w:val="center"/>
          </w:tcPr>
          <w:p w14:paraId="0315F5B0" w14:textId="77777777" w:rsidR="00030F5E" w:rsidRPr="001C523D" w:rsidRDefault="00030F5E" w:rsidP="00A73A01">
            <w:pPr>
              <w:pStyle w:val="af7"/>
              <w:jc w:val="left"/>
            </w:pPr>
            <w:r w:rsidRPr="001C523D">
              <w:t>Транспорт и связь</w:t>
            </w:r>
          </w:p>
        </w:tc>
        <w:tc>
          <w:tcPr>
            <w:tcW w:w="1275" w:type="dxa"/>
            <w:vAlign w:val="center"/>
          </w:tcPr>
          <w:p w14:paraId="7C7F0354" w14:textId="77777777" w:rsidR="00030F5E" w:rsidRPr="001C523D" w:rsidRDefault="00030F5E" w:rsidP="00952A09">
            <w:pPr>
              <w:pStyle w:val="af7"/>
              <w:jc w:val="center"/>
            </w:pPr>
            <w:r w:rsidRPr="001C523D">
              <w:t>7 177</w:t>
            </w:r>
          </w:p>
        </w:tc>
        <w:tc>
          <w:tcPr>
            <w:tcW w:w="1276" w:type="dxa"/>
            <w:shd w:val="clear" w:color="auto" w:fill="auto"/>
            <w:vAlign w:val="center"/>
          </w:tcPr>
          <w:p w14:paraId="2FAF95AB" w14:textId="77777777" w:rsidR="00030F5E" w:rsidRPr="001C523D" w:rsidRDefault="00030F5E" w:rsidP="00952A09">
            <w:pPr>
              <w:pStyle w:val="af7"/>
              <w:jc w:val="center"/>
            </w:pPr>
            <w:r w:rsidRPr="001C523D">
              <w:t>9 714</w:t>
            </w:r>
          </w:p>
        </w:tc>
        <w:tc>
          <w:tcPr>
            <w:tcW w:w="1134" w:type="dxa"/>
            <w:vAlign w:val="center"/>
          </w:tcPr>
          <w:p w14:paraId="7E0D9E1B" w14:textId="77777777" w:rsidR="00030F5E" w:rsidRPr="001C523D" w:rsidRDefault="00030F5E" w:rsidP="00952A09">
            <w:pPr>
              <w:pStyle w:val="af7"/>
              <w:jc w:val="center"/>
            </w:pPr>
            <w:r w:rsidRPr="001C523D">
              <w:t>9 592</w:t>
            </w:r>
          </w:p>
        </w:tc>
        <w:tc>
          <w:tcPr>
            <w:tcW w:w="1695" w:type="dxa"/>
            <w:vAlign w:val="center"/>
          </w:tcPr>
          <w:p w14:paraId="6B775B9B" w14:textId="622E30C2" w:rsidR="00030F5E" w:rsidRPr="001C523D" w:rsidRDefault="00505027" w:rsidP="00952A09">
            <w:pPr>
              <w:pStyle w:val="af7"/>
              <w:jc w:val="center"/>
            </w:pPr>
            <w:r w:rsidRPr="001C523D">
              <w:t>8,61%</w:t>
            </w:r>
          </w:p>
        </w:tc>
      </w:tr>
      <w:tr w:rsidR="00030F5E" w:rsidRPr="001C523D" w14:paraId="23F537D9" w14:textId="77777777" w:rsidTr="00A73A01">
        <w:trPr>
          <w:trHeight w:val="547"/>
          <w:jc w:val="center"/>
        </w:trPr>
        <w:tc>
          <w:tcPr>
            <w:tcW w:w="3691" w:type="dxa"/>
            <w:shd w:val="clear" w:color="auto" w:fill="auto"/>
            <w:vAlign w:val="center"/>
          </w:tcPr>
          <w:p w14:paraId="38C89AFF" w14:textId="77777777" w:rsidR="00030F5E" w:rsidRPr="001C523D" w:rsidRDefault="00030F5E" w:rsidP="00A73A01">
            <w:pPr>
              <w:pStyle w:val="af7"/>
              <w:jc w:val="left"/>
            </w:pPr>
            <w:r w:rsidRPr="001C523D">
              <w:t>Предоставление прочих коммунальных, социальных и персональных услуг</w:t>
            </w:r>
          </w:p>
        </w:tc>
        <w:tc>
          <w:tcPr>
            <w:tcW w:w="1275" w:type="dxa"/>
            <w:vAlign w:val="center"/>
          </w:tcPr>
          <w:p w14:paraId="02EF00E8" w14:textId="77777777" w:rsidR="00030F5E" w:rsidRPr="001C523D" w:rsidRDefault="00030F5E" w:rsidP="00952A09">
            <w:pPr>
              <w:pStyle w:val="af7"/>
              <w:jc w:val="center"/>
            </w:pPr>
            <w:r w:rsidRPr="001C523D">
              <w:t>59</w:t>
            </w:r>
          </w:p>
        </w:tc>
        <w:tc>
          <w:tcPr>
            <w:tcW w:w="1276" w:type="dxa"/>
            <w:shd w:val="clear" w:color="auto" w:fill="auto"/>
            <w:vAlign w:val="center"/>
          </w:tcPr>
          <w:p w14:paraId="260276B6" w14:textId="77777777" w:rsidR="00030F5E" w:rsidRPr="001C523D" w:rsidRDefault="00030F5E" w:rsidP="00952A09">
            <w:pPr>
              <w:pStyle w:val="af7"/>
              <w:jc w:val="center"/>
            </w:pPr>
            <w:r w:rsidRPr="001C523D">
              <w:t>10</w:t>
            </w:r>
          </w:p>
        </w:tc>
        <w:tc>
          <w:tcPr>
            <w:tcW w:w="1134" w:type="dxa"/>
            <w:vAlign w:val="center"/>
          </w:tcPr>
          <w:p w14:paraId="4790E0F6" w14:textId="77777777" w:rsidR="00030F5E" w:rsidRPr="001C523D" w:rsidRDefault="00030F5E" w:rsidP="00952A09">
            <w:pPr>
              <w:pStyle w:val="af7"/>
              <w:jc w:val="center"/>
            </w:pPr>
            <w:r w:rsidRPr="001C523D">
              <w:t>16</w:t>
            </w:r>
          </w:p>
        </w:tc>
        <w:tc>
          <w:tcPr>
            <w:tcW w:w="1695" w:type="dxa"/>
            <w:vAlign w:val="center"/>
          </w:tcPr>
          <w:p w14:paraId="1C131ABB" w14:textId="7EE18734" w:rsidR="00030F5E" w:rsidRPr="001C523D" w:rsidRDefault="00423FB7" w:rsidP="00952A09">
            <w:pPr>
              <w:pStyle w:val="af7"/>
              <w:jc w:val="center"/>
            </w:pPr>
            <w:r w:rsidRPr="001C523D">
              <w:t>0,01%</w:t>
            </w:r>
          </w:p>
        </w:tc>
      </w:tr>
      <w:tr w:rsidR="00030F5E" w:rsidRPr="001C523D" w14:paraId="6B0E0F02" w14:textId="77777777" w:rsidTr="00A73A01">
        <w:trPr>
          <w:trHeight w:val="379"/>
          <w:jc w:val="center"/>
        </w:trPr>
        <w:tc>
          <w:tcPr>
            <w:tcW w:w="3691" w:type="dxa"/>
            <w:shd w:val="clear" w:color="auto" w:fill="auto"/>
            <w:vAlign w:val="center"/>
          </w:tcPr>
          <w:p w14:paraId="116C575A" w14:textId="77777777" w:rsidR="00030F5E" w:rsidRPr="001C523D" w:rsidRDefault="00030F5E" w:rsidP="00A73A01">
            <w:pPr>
              <w:pStyle w:val="af7"/>
              <w:jc w:val="left"/>
            </w:pPr>
            <w:r w:rsidRPr="001C523D">
              <w:t>Другие виды деятельности</w:t>
            </w:r>
          </w:p>
        </w:tc>
        <w:tc>
          <w:tcPr>
            <w:tcW w:w="1275" w:type="dxa"/>
            <w:vAlign w:val="center"/>
          </w:tcPr>
          <w:p w14:paraId="045FD12B" w14:textId="77777777" w:rsidR="00030F5E" w:rsidRPr="001C523D" w:rsidRDefault="00030F5E" w:rsidP="00952A09">
            <w:pPr>
              <w:pStyle w:val="af7"/>
              <w:jc w:val="center"/>
            </w:pPr>
            <w:r w:rsidRPr="001C523D">
              <w:t>497</w:t>
            </w:r>
          </w:p>
        </w:tc>
        <w:tc>
          <w:tcPr>
            <w:tcW w:w="1276" w:type="dxa"/>
            <w:shd w:val="clear" w:color="auto" w:fill="auto"/>
            <w:vAlign w:val="center"/>
          </w:tcPr>
          <w:p w14:paraId="6AE81E4F" w14:textId="77777777" w:rsidR="00030F5E" w:rsidRPr="001C523D" w:rsidRDefault="00030F5E" w:rsidP="00952A09">
            <w:pPr>
              <w:pStyle w:val="af7"/>
              <w:jc w:val="center"/>
            </w:pPr>
            <w:r w:rsidRPr="001C523D">
              <w:t>216</w:t>
            </w:r>
          </w:p>
        </w:tc>
        <w:tc>
          <w:tcPr>
            <w:tcW w:w="1134" w:type="dxa"/>
            <w:vAlign w:val="center"/>
          </w:tcPr>
          <w:p w14:paraId="65DFA5AC" w14:textId="77777777" w:rsidR="00030F5E" w:rsidRPr="001C523D" w:rsidRDefault="00030F5E" w:rsidP="00952A09">
            <w:pPr>
              <w:pStyle w:val="af7"/>
              <w:jc w:val="center"/>
            </w:pPr>
            <w:r w:rsidRPr="001C523D">
              <w:t>271</w:t>
            </w:r>
          </w:p>
        </w:tc>
        <w:tc>
          <w:tcPr>
            <w:tcW w:w="1695" w:type="dxa"/>
            <w:vAlign w:val="center"/>
          </w:tcPr>
          <w:p w14:paraId="4FE3A3C1" w14:textId="2D0CDDE3" w:rsidR="00030F5E" w:rsidRPr="001C523D" w:rsidRDefault="00423FB7" w:rsidP="00952A09">
            <w:pPr>
              <w:pStyle w:val="af7"/>
              <w:jc w:val="center"/>
            </w:pPr>
            <w:r w:rsidRPr="001C523D">
              <w:t>0,24%</w:t>
            </w:r>
          </w:p>
        </w:tc>
      </w:tr>
    </w:tbl>
    <w:p w14:paraId="1562AF26" w14:textId="77777777" w:rsidR="00030F5E" w:rsidRPr="00952A09" w:rsidRDefault="00030F5E" w:rsidP="00A93D7F">
      <w:pPr>
        <w:rPr>
          <w:sz w:val="20"/>
          <w:szCs w:val="20"/>
        </w:rPr>
      </w:pPr>
      <w:r w:rsidRPr="00952A09">
        <w:rPr>
          <w:sz w:val="20"/>
          <w:szCs w:val="20"/>
        </w:rPr>
        <w:t>Источник: Росстат</w:t>
      </w:r>
    </w:p>
    <w:p w14:paraId="05E5FC2E" w14:textId="77777777" w:rsidR="00030F5E" w:rsidRDefault="00030F5E" w:rsidP="00A93D7F"/>
    <w:p w14:paraId="63082D1A" w14:textId="77777777" w:rsidR="00030F5E" w:rsidRDefault="00030F5E" w:rsidP="00A93D7F">
      <w:r>
        <w:t xml:space="preserve">Основной источник финансирования инвестиций – собственные средства предприятий – 96,1% общего объёма инвестиций, осуществлённых в 2016 г.. На привлечённые средства приходится 3,9%, в том числе кредиты банков – 85,9%, бюджетные средства – 5,5%. </w:t>
      </w:r>
    </w:p>
    <w:p w14:paraId="4BB727B8" w14:textId="77777777" w:rsidR="00030F5E" w:rsidRDefault="00030F5E" w:rsidP="00A93D7F">
      <w:r>
        <w:t>В районе д</w:t>
      </w:r>
      <w:r w:rsidRPr="002B0614">
        <w:t xml:space="preserve">остигнуты положительные результаты в сфере создания благоприятного инвестиционного климата. Продолжительность периода с даты подачи заявки на предоставление земельного участка до даты выдачи разрешения на строительство снизилась со 142 дней в 2014 </w:t>
      </w:r>
      <w:r>
        <w:t>г.</w:t>
      </w:r>
      <w:r w:rsidRPr="002B0614">
        <w:t xml:space="preserve"> до 117 дней в 2016 </w:t>
      </w:r>
      <w:r>
        <w:t>г</w:t>
      </w:r>
      <w:r w:rsidRPr="002B0614">
        <w:t>. Для реализации инвестиционных проектов сформированы и поставлены на госу</w:t>
      </w:r>
      <w:r>
        <w:t>дарственный кадастровый учет 11 </w:t>
      </w:r>
      <w:r w:rsidRPr="002B0614">
        <w:t>земельных участков площадью 4,3 га. Заключены 4 концессионных соглашения по передаче объектов тепло-, водоснабжения и водоотведения, находящихся в собственности сельских поселений Сентябрьский, Каркатеевы, Салым и Куть-Ях. Разработана дорожная карта по мониторингу внедренных практик. Кроме того, планируется внедрение дополнительных 10 практик из Атласа муниципальных практик в рамках реализации окружных портфелей приоритетных проектов.</w:t>
      </w:r>
    </w:p>
    <w:p w14:paraId="4C7B9F8D" w14:textId="77777777" w:rsidR="00030F5E" w:rsidRDefault="00030F5E" w:rsidP="00A93D7F">
      <w:r w:rsidRPr="00D27807">
        <w:t xml:space="preserve">В </w:t>
      </w:r>
      <w:r>
        <w:t xml:space="preserve">2016 г. </w:t>
      </w:r>
      <w:r w:rsidRPr="00D27807">
        <w:t xml:space="preserve">Нефтеюганском районе реализованы 7 инвестиционных проектов на сумму 44 885,05 тыс. рублей. На стадии реализации находятся 26 инвестиционных проектов стоимостью 3 764 565,0 тыс. рублей. В результате реализации проектов планируется создание 473 </w:t>
      </w:r>
      <w:r>
        <w:t xml:space="preserve">новых </w:t>
      </w:r>
      <w:r w:rsidRPr="00D27807">
        <w:t>рабочих места.</w:t>
      </w:r>
    </w:p>
    <w:p w14:paraId="1D9ED057" w14:textId="59C0AA9E" w:rsidR="00030F5E" w:rsidRDefault="00030F5E" w:rsidP="00A93D7F">
      <w:r>
        <w:t>Ключевой проблемой экономики района остается</w:t>
      </w:r>
      <w:r w:rsidRPr="00BD172B">
        <w:t xml:space="preserve"> высокая </w:t>
      </w:r>
      <w:r>
        <w:t>концентрация инвестиций в сфере</w:t>
      </w:r>
      <w:r w:rsidRPr="00BD172B">
        <w:t xml:space="preserve"> добычи полезных ископаемых.</w:t>
      </w:r>
      <w:r>
        <w:t xml:space="preserve"> </w:t>
      </w:r>
    </w:p>
    <w:p w14:paraId="4918A364" w14:textId="77777777" w:rsidR="0049553A" w:rsidRDefault="0049553A" w:rsidP="00A93D7F"/>
    <w:p w14:paraId="499024A9" w14:textId="77777777" w:rsidR="004A1A98" w:rsidRPr="00653D12" w:rsidRDefault="004A1A98" w:rsidP="00A93D7F">
      <w:pPr>
        <w:rPr>
          <w:i/>
        </w:rPr>
      </w:pPr>
      <w:r w:rsidRPr="00653D12">
        <w:rPr>
          <w:i/>
        </w:rPr>
        <w:t>Малое и среднее предпринимательство</w:t>
      </w:r>
    </w:p>
    <w:p w14:paraId="18C8FF89" w14:textId="77777777" w:rsidR="0059056F" w:rsidRDefault="004A1A98" w:rsidP="00A93D7F">
      <w:r w:rsidRPr="00673FF6">
        <w:t xml:space="preserve">В </w:t>
      </w:r>
      <w:r>
        <w:t xml:space="preserve">Нефтеюганском </w:t>
      </w:r>
      <w:r w:rsidRPr="00673FF6">
        <w:t>районе по состоянию на 01.01.2017</w:t>
      </w:r>
      <w:r>
        <w:t xml:space="preserve"> г.</w:t>
      </w:r>
      <w:r w:rsidRPr="00673FF6">
        <w:t xml:space="preserve"> зарегистрировано 1</w:t>
      </w:r>
      <w:r>
        <w:t> 320 </w:t>
      </w:r>
      <w:r w:rsidRPr="00673FF6">
        <w:t xml:space="preserve">субъектов малого и среднего предпринимательства (рост по сравнению с аналогичным </w:t>
      </w:r>
      <w:r>
        <w:t>показателем</w:t>
      </w:r>
      <w:r w:rsidRPr="00673FF6">
        <w:t xml:space="preserve"> </w:t>
      </w:r>
      <w:r>
        <w:t>2015</w:t>
      </w:r>
      <w:r w:rsidRPr="00673FF6">
        <w:t xml:space="preserve"> </w:t>
      </w:r>
      <w:r>
        <w:t>г. составил</w:t>
      </w:r>
      <w:r w:rsidRPr="00673FF6">
        <w:t xml:space="preserve"> 102,0 %), в том числе 1</w:t>
      </w:r>
      <w:r>
        <w:t> </w:t>
      </w:r>
      <w:r w:rsidRPr="00673FF6">
        <w:t xml:space="preserve">013 индивидуальных предпринимателя. </w:t>
      </w:r>
      <w:r>
        <w:t>К</w:t>
      </w:r>
      <w:r w:rsidRPr="00AF20EA">
        <w:t xml:space="preserve">оличество субъектов малого и среднего предпринимательства </w:t>
      </w:r>
      <w:r>
        <w:t>в 2016 г.</w:t>
      </w:r>
      <w:r w:rsidRPr="00AF20EA">
        <w:t xml:space="preserve"> </w:t>
      </w:r>
      <w:r>
        <w:t xml:space="preserve">составило </w:t>
      </w:r>
      <w:r w:rsidRPr="00AF20EA">
        <w:t xml:space="preserve">292,7 </w:t>
      </w:r>
      <w:r>
        <w:t>ед.</w:t>
      </w:r>
      <w:r w:rsidRPr="00AF20EA">
        <w:t xml:space="preserve"> на 10 тыс. человек населения </w:t>
      </w:r>
      <w:r>
        <w:t xml:space="preserve">против </w:t>
      </w:r>
      <w:r w:rsidRPr="00AF20EA">
        <w:t xml:space="preserve">288,5 </w:t>
      </w:r>
      <w:r>
        <w:t>ед.</w:t>
      </w:r>
      <w:r w:rsidRPr="00AF20EA">
        <w:t xml:space="preserve"> в 2015 </w:t>
      </w:r>
      <w:r>
        <w:t>г</w:t>
      </w:r>
      <w:r w:rsidRPr="00AF20EA">
        <w:t>.</w:t>
      </w:r>
    </w:p>
    <w:p w14:paraId="471CE081" w14:textId="77777777" w:rsidR="00E86FCE" w:rsidRDefault="00E86FCE" w:rsidP="00A93D7F"/>
    <w:p w14:paraId="3A4CD017" w14:textId="1D4AB536" w:rsidR="00F06CCD" w:rsidRDefault="00F06CCD" w:rsidP="00A93D7F">
      <w:r>
        <w:rPr>
          <w:noProof/>
        </w:rPr>
        <w:lastRenderedPageBreak/>
        <w:drawing>
          <wp:inline distT="0" distB="0" distL="0" distR="0" wp14:anchorId="56168772" wp14:editId="48F70237">
            <wp:extent cx="5276850" cy="2156655"/>
            <wp:effectExtent l="0" t="0" r="6350" b="254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070AF6" w14:textId="39DD9D9D" w:rsidR="0065288B" w:rsidRPr="00653D12" w:rsidRDefault="004A1A98" w:rsidP="00A93D7F">
      <w:pPr>
        <w:rPr>
          <w:b/>
        </w:rPr>
      </w:pPr>
      <w:r w:rsidRPr="00653D12">
        <w:rPr>
          <w:b/>
        </w:rPr>
        <w:t xml:space="preserve"> </w:t>
      </w:r>
      <w:r w:rsidR="0065288B" w:rsidRPr="00653D12">
        <w:rPr>
          <w:b/>
        </w:rPr>
        <w:t xml:space="preserve">Рисунок </w:t>
      </w:r>
      <w:r w:rsidR="0065288B" w:rsidRPr="00653D12">
        <w:rPr>
          <w:b/>
        </w:rPr>
        <w:fldChar w:fldCharType="begin"/>
      </w:r>
      <w:r w:rsidR="0065288B" w:rsidRPr="00653D12">
        <w:rPr>
          <w:b/>
        </w:rPr>
        <w:instrText xml:space="preserve"> SEQ Рисунок \* ARABIC </w:instrText>
      </w:r>
      <w:r w:rsidR="0065288B" w:rsidRPr="00653D12">
        <w:rPr>
          <w:b/>
        </w:rPr>
        <w:fldChar w:fldCharType="separate"/>
      </w:r>
      <w:r w:rsidR="00ED1BAA">
        <w:rPr>
          <w:b/>
          <w:noProof/>
        </w:rPr>
        <w:t>15</w:t>
      </w:r>
      <w:r w:rsidR="0065288B" w:rsidRPr="00653D12">
        <w:rPr>
          <w:b/>
        </w:rPr>
        <w:fldChar w:fldCharType="end"/>
      </w:r>
      <w:r w:rsidR="0065288B" w:rsidRPr="00653D12">
        <w:rPr>
          <w:b/>
        </w:rPr>
        <w:t xml:space="preserve"> Динамика оборота малых и средних предприятий, включая микропредприятия, в 2011-2016 гг., млрд. рублей</w:t>
      </w:r>
    </w:p>
    <w:p w14:paraId="26BD676F" w14:textId="77777777" w:rsidR="0065288B" w:rsidRDefault="0065288B" w:rsidP="00A93D7F"/>
    <w:p w14:paraId="4F41D26A" w14:textId="6E87F5B5" w:rsidR="004A1A98" w:rsidRPr="00AF20EA" w:rsidRDefault="004A1A98" w:rsidP="00A93D7F">
      <w:r w:rsidRPr="00673FF6">
        <w:t>В сфере малого и среднего би</w:t>
      </w:r>
      <w:r>
        <w:t>знеса сегодня работает более 8</w:t>
      </w:r>
      <w:r w:rsidRPr="00673FF6">
        <w:t xml:space="preserve"> тысяч </w:t>
      </w:r>
      <w:r>
        <w:t>жителей</w:t>
      </w:r>
      <w:r w:rsidRPr="00673FF6">
        <w:t xml:space="preserve"> района.</w:t>
      </w:r>
      <w:r>
        <w:t xml:space="preserve"> Оборот малых и средних предприятий района в 2016 г. составил 9,2 млрд рублей (рост н</w:t>
      </w:r>
      <w:r w:rsidR="00371282">
        <w:t>а 3,3% к уровню 2015 г.)</w:t>
      </w:r>
      <w:r>
        <w:t>.</w:t>
      </w:r>
    </w:p>
    <w:p w14:paraId="2B321F13" w14:textId="77777777" w:rsidR="004A1A98" w:rsidRDefault="004A1A98" w:rsidP="00A93D7F">
      <w:r>
        <w:t>В</w:t>
      </w:r>
      <w:r w:rsidRPr="00673FF6">
        <w:t xml:space="preserve"> 2016 </w:t>
      </w:r>
      <w:r>
        <w:t>г.</w:t>
      </w:r>
      <w:r w:rsidRPr="00673FF6">
        <w:t xml:space="preserve"> в структуре предпринимательства наиболее распространенной отраслью является торговл</w:t>
      </w:r>
      <w:r>
        <w:t>я – ее доля составляет 39,8%, доля платных услуг населению – 24,7</w:t>
      </w:r>
      <w:r w:rsidRPr="00673FF6">
        <w:t>%, доля общест</w:t>
      </w:r>
      <w:r>
        <w:t>венного питания– 23,0%. На прочие отрасли приходится всего 12,5%.</w:t>
      </w:r>
    </w:p>
    <w:p w14:paraId="3CDEEB54" w14:textId="77777777" w:rsidR="004A1A98" w:rsidRPr="00AF20EA" w:rsidRDefault="004A1A98" w:rsidP="00A93D7F">
      <w:r w:rsidRPr="00673FF6">
        <w:t>В целях развития и поддержки малого и среднего предпринимательства в районе реализуются муниципальная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2017-2020 годы»</w:t>
      </w:r>
      <w:r>
        <w:t xml:space="preserve"> (Подпрограмма </w:t>
      </w:r>
      <w:r w:rsidRPr="00AF20EA">
        <w:t>I</w:t>
      </w:r>
      <w:r w:rsidRPr="00A65978">
        <w:t xml:space="preserve"> </w:t>
      </w:r>
      <w:r w:rsidRPr="00AF20EA">
        <w:t>«Поддержка и развитие малого и среднего предпринимательства»</w:t>
      </w:r>
      <w:r>
        <w:t>)</w:t>
      </w:r>
      <w:r w:rsidRPr="00673FF6">
        <w:t>, утвержденн</w:t>
      </w:r>
      <w:r>
        <w:t>ая</w:t>
      </w:r>
      <w:r w:rsidRPr="00673FF6">
        <w:t xml:space="preserve"> постановлением </w:t>
      </w:r>
      <w:r>
        <w:t>А</w:t>
      </w:r>
      <w:r w:rsidRPr="00673FF6">
        <w:t>дминистрации Нефтею</w:t>
      </w:r>
      <w:r>
        <w:t xml:space="preserve">ганского района от 31.10.2016 № </w:t>
      </w:r>
      <w:r w:rsidRPr="00673FF6">
        <w:t>1782-</w:t>
      </w:r>
      <w:r>
        <w:t>на</w:t>
      </w:r>
      <w:r w:rsidRPr="00673FF6">
        <w:t>-</w:t>
      </w:r>
      <w:r>
        <w:t xml:space="preserve">нпа (в редакции постановления Администрации Нефтеюганского района от 21.11.2017 № </w:t>
      </w:r>
      <w:r w:rsidRPr="00AF20EA">
        <w:t>2140-па-нпа)</w:t>
      </w:r>
      <w:r>
        <w:t xml:space="preserve">. </w:t>
      </w:r>
      <w:r w:rsidRPr="00AF20EA">
        <w:t>Муниципальная программа соответствует мероприятиям подпрограммы VI «Развитие малого и среднего предпринимательства» государственной программы Ханты-Мансийского автономного округа – Югры «Социально-экономическое развитие, инвестиции и инновации Ханты-Мансийского автономного округа – Югры на 2016-2020 годы» (постановление Правительства ХМАО - Югры от 09.10.2013 № 419-п).</w:t>
      </w:r>
    </w:p>
    <w:p w14:paraId="4EF6BDAC" w14:textId="77777777" w:rsidR="004A1A98" w:rsidRDefault="004A1A98" w:rsidP="00A93D7F">
      <w:r>
        <w:t xml:space="preserve">Задача Подпрограммы </w:t>
      </w:r>
      <w:r w:rsidRPr="00AF20EA">
        <w:t>I</w:t>
      </w:r>
      <w:r w:rsidRPr="00A65978">
        <w:t xml:space="preserve"> </w:t>
      </w:r>
      <w:r w:rsidRPr="00AF20EA">
        <w:t>«Поддержка и развитие малого и среднего предпринимательства»</w:t>
      </w:r>
      <w:r>
        <w:t xml:space="preserve"> – </w:t>
      </w:r>
      <w:r w:rsidRPr="007B3B1B">
        <w:t>стимулирование деятельности субъектов малого и среднего предпринимательства путем предоставления информационной, финансовой поддержки, проведения мероприятий позволяющих повысить финансовую грамотность субъектов, а также повысить благоприятное общественное мнение о предпринимательской деятельности</w:t>
      </w:r>
      <w:r>
        <w:t xml:space="preserve">. По итогам 2016 года </w:t>
      </w:r>
      <w:r w:rsidRPr="007B3B1B">
        <w:t>плановые значения достигнуты по всем ц</w:t>
      </w:r>
      <w:r>
        <w:t>елевым показателям подпрограммы, в том числе:</w:t>
      </w:r>
    </w:p>
    <w:p w14:paraId="6AD74640" w14:textId="77777777" w:rsidR="004A1A98" w:rsidRDefault="004A1A98" w:rsidP="00A93D7F">
      <w:pPr>
        <w:pStyle w:val="a0"/>
        <w:numPr>
          <w:ilvl w:val="0"/>
          <w:numId w:val="20"/>
        </w:numPr>
      </w:pPr>
      <w:r>
        <w:t xml:space="preserve">по показателю </w:t>
      </w:r>
      <w:r w:rsidRPr="00076700">
        <w:t>к</w:t>
      </w:r>
      <w:r>
        <w:t>оличества</w:t>
      </w:r>
      <w:r w:rsidRPr="00076700">
        <w:t xml:space="preserve"> малых и средних предприятий</w:t>
      </w:r>
      <w:r>
        <w:t>,</w:t>
      </w:r>
      <w:r w:rsidRPr="00076700">
        <w:t xml:space="preserve"> включая </w:t>
      </w:r>
      <w:r>
        <w:t xml:space="preserve">индивидуальных предпринимателей, </w:t>
      </w:r>
      <w:r w:rsidRPr="00076700">
        <w:t xml:space="preserve">на 10 тыс. населения </w:t>
      </w:r>
      <w:r>
        <w:t>(</w:t>
      </w:r>
      <w:r w:rsidRPr="00076700">
        <w:t xml:space="preserve">292,7 </w:t>
      </w:r>
      <w:r>
        <w:t>ед.</w:t>
      </w:r>
      <w:r w:rsidRPr="00076700">
        <w:t xml:space="preserve"> против плановых 277,1 </w:t>
      </w:r>
      <w:r>
        <w:t>ед.</w:t>
      </w:r>
      <w:r w:rsidRPr="00076700">
        <w:t>);</w:t>
      </w:r>
    </w:p>
    <w:p w14:paraId="5FAEEC20" w14:textId="77777777" w:rsidR="004A1A98" w:rsidRDefault="004A1A98" w:rsidP="00A93D7F">
      <w:pPr>
        <w:pStyle w:val="a0"/>
        <w:numPr>
          <w:ilvl w:val="0"/>
          <w:numId w:val="20"/>
        </w:numPr>
      </w:pPr>
      <w:r>
        <w:t>по показателю доли</w:t>
      </w:r>
      <w:r w:rsidRPr="00076700">
        <w:t xml:space="preserve"> среднесписочной численности занятых на малых и средних предприятиях</w:t>
      </w:r>
      <w:r>
        <w:t>,</w:t>
      </w:r>
      <w:r w:rsidRPr="00076700">
        <w:t xml:space="preserve"> включая индивидуальных предпринимателей</w:t>
      </w:r>
      <w:r>
        <w:t>,</w:t>
      </w:r>
      <w:r w:rsidRPr="00076700">
        <w:t xml:space="preserve"> в общей численности работающих </w:t>
      </w:r>
      <w:r>
        <w:t xml:space="preserve">(25,9% </w:t>
      </w:r>
      <w:r w:rsidRPr="00076700">
        <w:t>против 25,3% плановых</w:t>
      </w:r>
      <w:r>
        <w:t>)</w:t>
      </w:r>
      <w:r w:rsidRPr="00076700">
        <w:t>;</w:t>
      </w:r>
    </w:p>
    <w:p w14:paraId="54A57099" w14:textId="77777777" w:rsidR="004A1A98" w:rsidRDefault="004A1A98" w:rsidP="00A93D7F">
      <w:pPr>
        <w:pStyle w:val="a0"/>
        <w:numPr>
          <w:ilvl w:val="0"/>
          <w:numId w:val="20"/>
        </w:numPr>
      </w:pPr>
      <w:r>
        <w:t>по показателю количества проведенных публичных мероприятий для субъектов</w:t>
      </w:r>
      <w:r w:rsidRPr="0034298C">
        <w:t xml:space="preserve"> СМСП</w:t>
      </w:r>
      <w:r>
        <w:t xml:space="preserve"> (21 </w:t>
      </w:r>
      <w:r w:rsidRPr="0034298C">
        <w:t>публичн</w:t>
      </w:r>
      <w:r>
        <w:t>ое</w:t>
      </w:r>
      <w:r w:rsidRPr="0034298C">
        <w:t xml:space="preserve"> мероприяти</w:t>
      </w:r>
      <w:r>
        <w:t>е),</w:t>
      </w:r>
      <w:r w:rsidRPr="0034298C">
        <w:t xml:space="preserve"> </w:t>
      </w:r>
      <w:r>
        <w:t>количества</w:t>
      </w:r>
      <w:r w:rsidRPr="00076700">
        <w:t xml:space="preserve"> участников из числа СМСП в проведенных публичных мероприятиях </w:t>
      </w:r>
      <w:r>
        <w:t>(322 человека</w:t>
      </w:r>
      <w:r w:rsidRPr="00076700">
        <w:t xml:space="preserve"> про</w:t>
      </w:r>
      <w:r>
        <w:t>тив запланированных 300 человек);</w:t>
      </w:r>
    </w:p>
    <w:p w14:paraId="08268A31" w14:textId="61A21209" w:rsidR="004A1A98" w:rsidRPr="001C0672" w:rsidRDefault="004A1A98" w:rsidP="00A93D7F">
      <w:pPr>
        <w:pStyle w:val="a0"/>
        <w:numPr>
          <w:ilvl w:val="0"/>
          <w:numId w:val="20"/>
        </w:numPr>
      </w:pPr>
      <w:r>
        <w:lastRenderedPageBreak/>
        <w:t>по показателю количества субъектов СМСП, получивших ф</w:t>
      </w:r>
      <w:r w:rsidRPr="00076700">
        <w:t>инансовую поддержку</w:t>
      </w:r>
      <w:r>
        <w:t xml:space="preserve"> (19 </w:t>
      </w:r>
      <w:r w:rsidRPr="00076700">
        <w:t>субъектов малого и среднего предпринимательства, включая индивидуальных предпринимателей</w:t>
      </w:r>
      <w:r>
        <w:t xml:space="preserve"> (плановый показатель 11 СМСП).</w:t>
      </w:r>
    </w:p>
    <w:p w14:paraId="5E83ED45" w14:textId="77777777" w:rsidR="007C4D9F" w:rsidRPr="0071424E" w:rsidRDefault="007C4D9F" w:rsidP="00A93D7F"/>
    <w:p w14:paraId="62AC7E67" w14:textId="77777777" w:rsidR="001C6C32" w:rsidRPr="00653D12" w:rsidRDefault="001C6C32" w:rsidP="00A93D7F">
      <w:pPr>
        <w:rPr>
          <w:i/>
        </w:rPr>
      </w:pPr>
      <w:r w:rsidRPr="00653D12">
        <w:rPr>
          <w:i/>
        </w:rPr>
        <w:t>Розничная торговля и потребительский рынок</w:t>
      </w:r>
    </w:p>
    <w:p w14:paraId="0E7A2EF4" w14:textId="77777777" w:rsidR="001C6C32" w:rsidRPr="009E59EC" w:rsidRDefault="001C6C32" w:rsidP="00A93D7F">
      <w:r w:rsidRPr="009E59EC">
        <w:t>По состоянию на 01.01.2017</w:t>
      </w:r>
      <w:r>
        <w:t xml:space="preserve"> г.</w:t>
      </w:r>
      <w:r w:rsidRPr="009E59EC">
        <w:t xml:space="preserve"> общее количество объектов потребительского рынка составляет 577 единиц, в том числе: </w:t>
      </w:r>
    </w:p>
    <w:p w14:paraId="006811F3" w14:textId="77777777" w:rsidR="001C6C32" w:rsidRPr="009E59EC" w:rsidRDefault="001C6C32" w:rsidP="00A93D7F">
      <w:pPr>
        <w:pStyle w:val="a0"/>
        <w:numPr>
          <w:ilvl w:val="0"/>
          <w:numId w:val="21"/>
        </w:numPr>
      </w:pPr>
      <w:r w:rsidRPr="009E59EC">
        <w:t>230 объектов розничной торговли</w:t>
      </w:r>
      <w:r w:rsidRPr="009E59EC">
        <w:rPr>
          <w:rFonts w:eastAsia="Calibri"/>
        </w:rPr>
        <w:t xml:space="preserve"> общей торговой площадью </w:t>
      </w:r>
      <w:r w:rsidRPr="009E59EC">
        <w:t xml:space="preserve">17 188,36 </w:t>
      </w:r>
      <w:r w:rsidRPr="009E59EC">
        <w:rPr>
          <w:rFonts w:eastAsia="Calibri"/>
        </w:rPr>
        <w:t>кв.м</w:t>
      </w:r>
      <w:r w:rsidRPr="009E59EC">
        <w:t xml:space="preserve">; </w:t>
      </w:r>
    </w:p>
    <w:p w14:paraId="33853972" w14:textId="77777777" w:rsidR="001C6C32" w:rsidRPr="009E59EC" w:rsidRDefault="001C6C32" w:rsidP="00A93D7F">
      <w:pPr>
        <w:pStyle w:val="a0"/>
        <w:numPr>
          <w:ilvl w:val="0"/>
          <w:numId w:val="21"/>
        </w:numPr>
      </w:pPr>
      <w:r w:rsidRPr="009E59EC">
        <w:t>133 объекта общественного питания на 4 014 посадочных мест;</w:t>
      </w:r>
    </w:p>
    <w:p w14:paraId="18F99DAA" w14:textId="77777777" w:rsidR="001C6C32" w:rsidRPr="009E59EC" w:rsidRDefault="001C6C32" w:rsidP="00A93D7F">
      <w:pPr>
        <w:pStyle w:val="a0"/>
        <w:numPr>
          <w:ilvl w:val="0"/>
          <w:numId w:val="21"/>
        </w:numPr>
      </w:pPr>
      <w:r w:rsidRPr="009E59EC">
        <w:t xml:space="preserve">143 объекта в сфере платных услуг; </w:t>
      </w:r>
    </w:p>
    <w:p w14:paraId="3B223D0D" w14:textId="77777777" w:rsidR="001C6C32" w:rsidRPr="009E59EC" w:rsidRDefault="001C6C32" w:rsidP="00A93D7F">
      <w:pPr>
        <w:pStyle w:val="a0"/>
        <w:numPr>
          <w:ilvl w:val="0"/>
          <w:numId w:val="21"/>
        </w:numPr>
      </w:pPr>
      <w:r w:rsidRPr="009E59EC">
        <w:t>62 объекта в сфере бытовых услуг;</w:t>
      </w:r>
    </w:p>
    <w:p w14:paraId="2B8D01B4" w14:textId="77777777" w:rsidR="001C6C32" w:rsidRPr="009E59EC" w:rsidRDefault="001C6C32" w:rsidP="00A93D7F">
      <w:pPr>
        <w:pStyle w:val="a0"/>
        <w:numPr>
          <w:ilvl w:val="0"/>
          <w:numId w:val="21"/>
        </w:numPr>
      </w:pPr>
      <w:r w:rsidRPr="009E59EC">
        <w:t>9 объектов хлебопечения;</w:t>
      </w:r>
    </w:p>
    <w:p w14:paraId="5B871208" w14:textId="77777777" w:rsidR="001C6C32" w:rsidRPr="009E59EC" w:rsidRDefault="001C6C32" w:rsidP="00A93D7F">
      <w:pPr>
        <w:pStyle w:val="a0"/>
        <w:numPr>
          <w:ilvl w:val="0"/>
          <w:numId w:val="21"/>
        </w:numPr>
      </w:pPr>
      <w:r w:rsidRPr="009E59EC">
        <w:t>5 коллективных средств размещения.</w:t>
      </w:r>
    </w:p>
    <w:p w14:paraId="67CBAD39" w14:textId="77777777" w:rsidR="001C6C32" w:rsidRDefault="001C6C32" w:rsidP="00A93D7F">
      <w:r w:rsidRPr="009E59EC">
        <w:t xml:space="preserve">Оборот розничной торговли </w:t>
      </w:r>
      <w:r>
        <w:t>в</w:t>
      </w:r>
      <w:r w:rsidRPr="009E59EC">
        <w:t xml:space="preserve"> 2016 </w:t>
      </w:r>
      <w:r>
        <w:t>г.</w:t>
      </w:r>
      <w:r w:rsidRPr="009E59EC">
        <w:t xml:space="preserve"> составил 1 394,6 млн</w:t>
      </w:r>
      <w:r>
        <w:t>.</w:t>
      </w:r>
      <w:r w:rsidRPr="009E59EC">
        <w:t xml:space="preserve"> рублей в действующих ценах, темп роста к уровню 2015 </w:t>
      </w:r>
      <w:r>
        <w:t>г.</w:t>
      </w:r>
      <w:r w:rsidRPr="009E59EC">
        <w:t xml:space="preserve"> </w:t>
      </w:r>
      <w:r>
        <w:t xml:space="preserve">составил </w:t>
      </w:r>
      <w:r w:rsidRPr="009E59EC">
        <w:t xml:space="preserve">123,5% в сопоставимых ценах. По итогам 2017 </w:t>
      </w:r>
      <w:r>
        <w:t>г.</w:t>
      </w:r>
      <w:r w:rsidRPr="009E59EC">
        <w:t xml:space="preserve"> динамика оборота розничной торговли составит 99,9%, показатель достигнет значения 1450,4 млн руб. Оборот общественного питания составил 836,2 млн. рублей или 100,3% в сопоставимых ценах к уровню 2015 </w:t>
      </w:r>
      <w:r>
        <w:t>г.</w:t>
      </w:r>
      <w:r w:rsidRPr="009E59EC">
        <w:t xml:space="preserve"> (план на 2016 </w:t>
      </w:r>
      <w:r>
        <w:t>г.</w:t>
      </w:r>
      <w:r w:rsidRPr="009E59EC">
        <w:t xml:space="preserve"> – 543,5 млн руб.). Объем платных услуг населению составил 723,7 млн. рублей, 93,9% к уровню 2015 </w:t>
      </w:r>
      <w:r>
        <w:t>г.</w:t>
      </w:r>
      <w:r w:rsidRPr="009E59EC">
        <w:t xml:space="preserve"> в сопоставимых ценах (плановый показатель не достигнут – 1,2 млн руб</w:t>
      </w:r>
      <w:r>
        <w:t>.</w:t>
      </w:r>
      <w:r w:rsidRPr="009E59EC">
        <w:t>).</w:t>
      </w:r>
    </w:p>
    <w:p w14:paraId="0BC14844" w14:textId="77777777" w:rsidR="001C6C32" w:rsidRPr="009E59EC" w:rsidRDefault="001C6C32" w:rsidP="00A93D7F"/>
    <w:p w14:paraId="10FE030A" w14:textId="7754293D" w:rsidR="001C6C32" w:rsidRDefault="001C6C32" w:rsidP="00A93D7F"/>
    <w:p w14:paraId="70EA21ED" w14:textId="45C9E799" w:rsidR="00371282" w:rsidRDefault="00371282" w:rsidP="00A93D7F">
      <w:r>
        <w:rPr>
          <w:noProof/>
        </w:rPr>
        <w:drawing>
          <wp:inline distT="0" distB="0" distL="0" distR="0" wp14:anchorId="6DC6B710" wp14:editId="2285C941">
            <wp:extent cx="5033157" cy="2256888"/>
            <wp:effectExtent l="0" t="0" r="0" b="381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C76228" w14:textId="77777777" w:rsidR="001C6C32" w:rsidRPr="00653D12" w:rsidRDefault="001C6C32" w:rsidP="00A93D7F">
      <w:pPr>
        <w:rPr>
          <w:b/>
        </w:rPr>
      </w:pPr>
      <w:r w:rsidRPr="00653D12">
        <w:rPr>
          <w:b/>
        </w:rPr>
        <w:t xml:space="preserve">Рисунок </w:t>
      </w:r>
      <w:r w:rsidRPr="00653D12">
        <w:rPr>
          <w:b/>
        </w:rPr>
        <w:fldChar w:fldCharType="begin"/>
      </w:r>
      <w:r w:rsidRPr="00653D12">
        <w:rPr>
          <w:b/>
        </w:rPr>
        <w:instrText xml:space="preserve"> SEQ Рисунок \* ARABIC </w:instrText>
      </w:r>
      <w:r w:rsidRPr="00653D12">
        <w:rPr>
          <w:b/>
        </w:rPr>
        <w:fldChar w:fldCharType="separate"/>
      </w:r>
      <w:r w:rsidR="00ED1BAA">
        <w:rPr>
          <w:b/>
          <w:noProof/>
        </w:rPr>
        <w:t>16</w:t>
      </w:r>
      <w:r w:rsidRPr="00653D12">
        <w:rPr>
          <w:b/>
        </w:rPr>
        <w:fldChar w:fldCharType="end"/>
      </w:r>
      <w:r w:rsidRPr="00653D12">
        <w:rPr>
          <w:b/>
        </w:rPr>
        <w:t xml:space="preserve"> Динамика оборота розничной торговли в 2015-2017 гг.</w:t>
      </w:r>
    </w:p>
    <w:p w14:paraId="2B0D9C55" w14:textId="77777777" w:rsidR="001C6C32" w:rsidRDefault="001C6C32" w:rsidP="00A93D7F"/>
    <w:p w14:paraId="44332FD6" w14:textId="77777777" w:rsidR="001C6C32" w:rsidRDefault="001C6C32" w:rsidP="00A93D7F">
      <w:r w:rsidRPr="00513C61">
        <w:t>Обеспеченность торговыми площадями предприятий розничной торговли по всем объектам розничной торговли (ста</w:t>
      </w:r>
      <w:r>
        <w:t xml:space="preserve">ционарные и нестационарные) </w:t>
      </w:r>
      <w:r w:rsidRPr="00513C61">
        <w:t xml:space="preserve">составляет </w:t>
      </w:r>
      <w:r>
        <w:t>380 </w:t>
      </w:r>
      <w:r w:rsidRPr="00513C61">
        <w:t>кв.</w:t>
      </w:r>
      <w:r>
        <w:t> м</w:t>
      </w:r>
      <w:r w:rsidRPr="00513C61">
        <w:t xml:space="preserve"> на 1 тыс. человек</w:t>
      </w:r>
      <w:r>
        <w:t xml:space="preserve"> (плановый показатель на 2016 г. составляет </w:t>
      </w:r>
      <w:r w:rsidRPr="00D5097A">
        <w:t>380,1 кв.</w:t>
      </w:r>
      <w:r>
        <w:t> м</w:t>
      </w:r>
      <w:r w:rsidRPr="00D5097A">
        <w:t>)</w:t>
      </w:r>
      <w:r>
        <w:t>, или 84,5% от суммарного норматива, установленного постановлением</w:t>
      </w:r>
      <w:r w:rsidRPr="00513C61">
        <w:t xml:space="preserve"> Правительства Ханты-Мансийского автономного округа – Югры от 05.08.2016 № 291-п. Наибольшая обеспеченность торговыми площадями в гп. Пойковский и сп. Салым.</w:t>
      </w:r>
      <w:r>
        <w:t xml:space="preserve"> </w:t>
      </w:r>
      <w:r w:rsidRPr="00DF7D4D">
        <w:t xml:space="preserve">По стационарным объектам розничной торговли с продовольственным и смешанным ассортиментом товаров </w:t>
      </w:r>
      <w:r>
        <w:t>обеспеченность составляет</w:t>
      </w:r>
      <w:r w:rsidRPr="00DF7D4D">
        <w:t xml:space="preserve"> 248 кв.м. на 1 тыс. человек (55,1 % к суммарному нормативу).</w:t>
      </w:r>
    </w:p>
    <w:p w14:paraId="7ABEFF1A" w14:textId="77777777" w:rsidR="001C6C32" w:rsidRDefault="001C6C32" w:rsidP="00A93D7F">
      <w:r>
        <w:t xml:space="preserve">По данным статистики в 2013-2016 гг. число магазинов сократилось с </w:t>
      </w:r>
      <w:r w:rsidRPr="00AB791A">
        <w:t>159</w:t>
      </w:r>
      <w:r>
        <w:t xml:space="preserve"> до </w:t>
      </w:r>
      <w:r w:rsidRPr="00AB791A">
        <w:t>146</w:t>
      </w:r>
      <w:r>
        <w:t> ед., число супермаркетов с 4 в 2015 г. до 1 в 2016 г.</w:t>
      </w:r>
    </w:p>
    <w:p w14:paraId="0C4D8AE6" w14:textId="021CC403" w:rsidR="001C6C32" w:rsidRPr="00974BAE" w:rsidRDefault="001C6C32" w:rsidP="00A93D7F">
      <w:r w:rsidRPr="00BD3BE1">
        <w:t>В целях развития потребительского рынка</w:t>
      </w:r>
      <w:r>
        <w:t xml:space="preserve"> начиная</w:t>
      </w:r>
      <w:r w:rsidRPr="00BD3BE1">
        <w:t xml:space="preserve"> </w:t>
      </w:r>
      <w:r>
        <w:t xml:space="preserve">с </w:t>
      </w:r>
      <w:r w:rsidRPr="00BD3BE1">
        <w:t xml:space="preserve">2016 </w:t>
      </w:r>
      <w:r>
        <w:t>г.</w:t>
      </w:r>
      <w:r w:rsidRPr="00BD3BE1">
        <w:t xml:space="preserve"> </w:t>
      </w:r>
      <w:r>
        <w:t xml:space="preserve">в районе </w:t>
      </w:r>
      <w:r w:rsidRPr="00BD3BE1">
        <w:t>действуе</w:t>
      </w:r>
      <w:r>
        <w:t>т</w:t>
      </w:r>
      <w:r w:rsidRPr="00BD3BE1">
        <w:t xml:space="preserve"> муниципальная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2014-2020 годы», в рамках </w:t>
      </w:r>
      <w:r>
        <w:t>программы</w:t>
      </w:r>
      <w:r w:rsidRPr="00BD3BE1">
        <w:t xml:space="preserve"> реали</w:t>
      </w:r>
      <w:r>
        <w:t xml:space="preserve">зуется </w:t>
      </w:r>
      <w:r>
        <w:lastRenderedPageBreak/>
        <w:t xml:space="preserve">Подпрограмма </w:t>
      </w:r>
      <w:r w:rsidRPr="00BD3BE1">
        <w:t xml:space="preserve">II. </w:t>
      </w:r>
      <w:r>
        <w:t>«</w:t>
      </w:r>
      <w:r w:rsidRPr="00BD3BE1">
        <w:t>Содействие развитию потребительского рынка</w:t>
      </w:r>
      <w:r>
        <w:t xml:space="preserve">». Задачей подпрограммы является </w:t>
      </w:r>
      <w:r w:rsidRPr="00974BAE">
        <w:t>создание условий для удовлетворения спроса населения на товары и услуги, возможность реализации продукции местными сельхоз товаропроизводителями.</w:t>
      </w:r>
      <w:r>
        <w:t xml:space="preserve"> Целевые значения реализации программы в 2016 г. достигнуты полностью.</w:t>
      </w:r>
      <w:r w:rsidRPr="00974BAE">
        <w:t xml:space="preserve"> На территории муниципальных образований поселений за 2016 </w:t>
      </w:r>
      <w:r>
        <w:t>г.</w:t>
      </w:r>
      <w:r w:rsidRPr="00974BAE">
        <w:t xml:space="preserve"> организовано и проведено 137 ярмарок и «ярмарок выходного дня» с привлечением местных товаро- и сельхозтоваро-производителей, а также производителей сельхозпродукции из других</w:t>
      </w:r>
      <w:r w:rsidR="001C523D">
        <w:t xml:space="preserve"> регионов, что превысило на 85%</w:t>
      </w:r>
      <w:r w:rsidRPr="00974BAE">
        <w:t xml:space="preserve"> плановый целевой показатель (плановый показатель – 74 ярмарки).</w:t>
      </w:r>
    </w:p>
    <w:p w14:paraId="45DC07AA" w14:textId="78658AB8" w:rsidR="00F64B3A" w:rsidRPr="00961122" w:rsidRDefault="001C6C32" w:rsidP="00A93D7F">
      <w:r w:rsidRPr="00974BAE">
        <w:t>Рост розничного товарооборота к базовому показателю на начало реализации муниципальной программы</w:t>
      </w:r>
      <w:r>
        <w:t xml:space="preserve"> в </w:t>
      </w:r>
      <w:r w:rsidRPr="00974BAE">
        <w:t>январь-ноябр</w:t>
      </w:r>
      <w:r>
        <w:t>е</w:t>
      </w:r>
      <w:r w:rsidRPr="00974BAE">
        <w:t xml:space="preserve"> 2016 </w:t>
      </w:r>
      <w:r>
        <w:t xml:space="preserve">г. составил </w:t>
      </w:r>
      <w:r w:rsidRPr="00974BAE">
        <w:t>20,3</w:t>
      </w:r>
      <w:r>
        <w:t>% при плановом значении 15,9%.</w:t>
      </w:r>
    </w:p>
    <w:p w14:paraId="251EE50B" w14:textId="77777777" w:rsidR="00F64B3A" w:rsidRDefault="00F64B3A" w:rsidP="00A93D7F"/>
    <w:p w14:paraId="15E80F27" w14:textId="514108AC" w:rsidR="00871826" w:rsidRPr="00653D12" w:rsidRDefault="00042475" w:rsidP="00653D12">
      <w:pPr>
        <w:jc w:val="center"/>
        <w:rPr>
          <w:b/>
        </w:rPr>
      </w:pPr>
      <w:r w:rsidRPr="00653D12">
        <w:rPr>
          <w:b/>
        </w:rPr>
        <w:t>Коммунальное хозяйство и инфраструктура</w:t>
      </w:r>
    </w:p>
    <w:p w14:paraId="10B38514" w14:textId="77777777" w:rsidR="001828E8" w:rsidRDefault="001828E8" w:rsidP="00A93D7F"/>
    <w:p w14:paraId="79E592DF" w14:textId="77777777" w:rsidR="0071424E" w:rsidRPr="00653D12" w:rsidRDefault="0071424E" w:rsidP="00A93D7F">
      <w:pPr>
        <w:rPr>
          <w:i/>
        </w:rPr>
      </w:pPr>
      <w:r w:rsidRPr="00653D12">
        <w:rPr>
          <w:i/>
        </w:rPr>
        <w:t xml:space="preserve">Электроэнергетика </w:t>
      </w:r>
    </w:p>
    <w:p w14:paraId="77407463" w14:textId="77777777" w:rsidR="0071424E" w:rsidRPr="00653D12" w:rsidRDefault="0071424E" w:rsidP="00A93D7F">
      <w:pPr>
        <w:pStyle w:val="-"/>
        <w:rPr>
          <w:sz w:val="24"/>
          <w:szCs w:val="24"/>
        </w:rPr>
      </w:pPr>
      <w:r w:rsidRPr="00653D12">
        <w:rPr>
          <w:sz w:val="24"/>
          <w:szCs w:val="24"/>
        </w:rPr>
        <w:t>Нефтеюганский район является частью Нефтеюганского энергорайона, в который также входят часть Сургутского района, юго-восточная часть Ханты-Мансийского района, а также городские округа г. Нефтеюганск, г. Ханты-Мансийск и г. Пыть-Ях.</w:t>
      </w:r>
    </w:p>
    <w:p w14:paraId="7EBDF212" w14:textId="77777777" w:rsidR="0071424E" w:rsidRPr="00A47A41" w:rsidRDefault="0071424E" w:rsidP="00A93D7F">
      <w:r w:rsidRPr="00630D82">
        <w:t>Система электроснабжения Нефтеюганского р</w:t>
      </w:r>
      <w:r>
        <w:t xml:space="preserve">айона является централизованной, по данным за 2016 г. протяженность </w:t>
      </w:r>
      <w:r w:rsidRPr="00630D82">
        <w:t xml:space="preserve">ЛЭП 500 кВ </w:t>
      </w:r>
      <w:r>
        <w:t xml:space="preserve">составляет 940 км, ЛЭП 220 кВ – 510 км, </w:t>
      </w:r>
      <w:r w:rsidRPr="00630D82">
        <w:t>ЛЭП 110 кВ – 1249 км.</w:t>
      </w:r>
      <w:r>
        <w:t xml:space="preserve"> </w:t>
      </w:r>
      <w:r w:rsidRPr="00630D82">
        <w:t>ЛЭП 500 кВ, пересекающая Нефтеюганский район с юга</w:t>
      </w:r>
      <w:r>
        <w:t xml:space="preserve"> на север от ПС «Демьяновская»</w:t>
      </w:r>
      <w:r w:rsidRPr="00630D82">
        <w:t xml:space="preserve"> </w:t>
      </w:r>
      <w:r w:rsidRPr="006B4165">
        <w:t>–</w:t>
      </w:r>
      <w:r>
        <w:t xml:space="preserve"> </w:t>
      </w:r>
      <w:r w:rsidRPr="00630D82">
        <w:t xml:space="preserve">ПС «Нелым», через ПС «Магистральную» </w:t>
      </w:r>
      <w:r w:rsidRPr="006B4165">
        <w:t>–</w:t>
      </w:r>
      <w:r w:rsidRPr="00630D82">
        <w:t xml:space="preserve"> ПС «Пыть-Ях» до ПС «Сомкинская» и ЭС «Сургут», является основным источником электроснабжения городского и сельских поселений Нефтеюганского района.</w:t>
      </w:r>
    </w:p>
    <w:p w14:paraId="57FCA355" w14:textId="77777777" w:rsidR="0071424E" w:rsidRDefault="0071424E" w:rsidP="00A93D7F">
      <w:r w:rsidRPr="00532EB6">
        <w:t>Спецификой района является значительное преобладание в структуре электропотребления региона предприятий нефтегазового комплекса, в том числе нефтегазодобывающих и перерабатывающих компаний, а также предприятий, осуществляющих транспортировку добытых углеводородов, над прочими отраслями промышленности, сельским хозяйством и коммунально-бытовыми потребителями. Наибольшая доля в структуре электропотребления района (около 90%) приходится на промышленных потребителей (ООО «РН-Юганскнефтегаз», ООО «Юрскнефть» и компания «Салым Петролеум Девелопмент Н.В.»), оставшаяся ча</w:t>
      </w:r>
      <w:r>
        <w:t>сть приходится на коммунально-бы</w:t>
      </w:r>
      <w:r w:rsidRPr="00532EB6">
        <w:t>товую нагрузку городского и сельских поселений.</w:t>
      </w:r>
    </w:p>
    <w:p w14:paraId="1212EB65" w14:textId="77777777" w:rsidR="0071424E" w:rsidRDefault="0071424E" w:rsidP="00A93D7F"/>
    <w:p w14:paraId="7ADD2A4D" w14:textId="77777777" w:rsidR="0071424E" w:rsidRPr="00653D12" w:rsidRDefault="0071424E" w:rsidP="00A93D7F">
      <w:pPr>
        <w:rPr>
          <w:b/>
        </w:rPr>
      </w:pPr>
      <w:r w:rsidRPr="00653D12">
        <w:rPr>
          <w:b/>
        </w:rPr>
        <w:t xml:space="preserve">Таблица </w:t>
      </w:r>
      <w:r w:rsidRPr="00653D12">
        <w:rPr>
          <w:b/>
        </w:rPr>
        <w:fldChar w:fldCharType="begin"/>
      </w:r>
      <w:r w:rsidRPr="00653D12">
        <w:rPr>
          <w:b/>
        </w:rPr>
        <w:instrText xml:space="preserve"> SEQ Таблица \* ARABIC </w:instrText>
      </w:r>
      <w:r w:rsidRPr="00653D12">
        <w:rPr>
          <w:b/>
        </w:rPr>
        <w:fldChar w:fldCharType="separate"/>
      </w:r>
      <w:r w:rsidR="00ED1BAA">
        <w:rPr>
          <w:b/>
          <w:noProof/>
        </w:rPr>
        <w:t>8</w:t>
      </w:r>
      <w:r w:rsidRPr="00653D12">
        <w:rPr>
          <w:b/>
        </w:rPr>
        <w:fldChar w:fldCharType="end"/>
      </w:r>
      <w:r w:rsidRPr="00653D12">
        <w:rPr>
          <w:b/>
        </w:rPr>
        <w:t xml:space="preserve"> </w:t>
      </w:r>
    </w:p>
    <w:p w14:paraId="11ACB70C" w14:textId="77777777" w:rsidR="0071424E" w:rsidRPr="00653D12" w:rsidRDefault="0071424E" w:rsidP="00A93D7F">
      <w:pPr>
        <w:rPr>
          <w:b/>
        </w:rPr>
      </w:pPr>
      <w:r w:rsidRPr="00653D12">
        <w:rPr>
          <w:b/>
        </w:rPr>
        <w:t>Динамика изменения максимума потребления мощности ЭЭС автономного округа за период 2012-2016 гг., МВт</w:t>
      </w:r>
    </w:p>
    <w:tbl>
      <w:tblPr>
        <w:tblStyle w:val="ab"/>
        <w:tblW w:w="0" w:type="auto"/>
        <w:jc w:val="center"/>
        <w:tblLook w:val="04A0" w:firstRow="1" w:lastRow="0" w:firstColumn="1" w:lastColumn="0" w:noHBand="0" w:noVBand="1"/>
      </w:tblPr>
      <w:tblGrid>
        <w:gridCol w:w="3106"/>
        <w:gridCol w:w="931"/>
        <w:gridCol w:w="932"/>
        <w:gridCol w:w="931"/>
        <w:gridCol w:w="932"/>
        <w:gridCol w:w="798"/>
        <w:gridCol w:w="1665"/>
      </w:tblGrid>
      <w:tr w:rsidR="0071424E" w:rsidRPr="001C523D" w14:paraId="3B5CAEBC" w14:textId="77777777" w:rsidTr="004D6893">
        <w:trPr>
          <w:trHeight w:val="446"/>
          <w:jc w:val="center"/>
        </w:trPr>
        <w:tc>
          <w:tcPr>
            <w:tcW w:w="3106" w:type="dxa"/>
            <w:vAlign w:val="center"/>
          </w:tcPr>
          <w:p w14:paraId="29F71091" w14:textId="77777777" w:rsidR="0071424E" w:rsidRPr="001C523D" w:rsidRDefault="0071424E" w:rsidP="00653D12">
            <w:pPr>
              <w:pStyle w:val="af7"/>
            </w:pPr>
          </w:p>
        </w:tc>
        <w:tc>
          <w:tcPr>
            <w:tcW w:w="931" w:type="dxa"/>
            <w:vAlign w:val="center"/>
          </w:tcPr>
          <w:p w14:paraId="06434FEA" w14:textId="77777777" w:rsidR="0071424E" w:rsidRPr="001C523D" w:rsidRDefault="0071424E" w:rsidP="00653D12">
            <w:pPr>
              <w:pStyle w:val="af7"/>
            </w:pPr>
            <w:r w:rsidRPr="001C523D">
              <w:t>2012</w:t>
            </w:r>
          </w:p>
        </w:tc>
        <w:tc>
          <w:tcPr>
            <w:tcW w:w="932" w:type="dxa"/>
            <w:vAlign w:val="center"/>
          </w:tcPr>
          <w:p w14:paraId="5F5D7130" w14:textId="77777777" w:rsidR="0071424E" w:rsidRPr="001C523D" w:rsidRDefault="0071424E" w:rsidP="00653D12">
            <w:pPr>
              <w:pStyle w:val="af7"/>
            </w:pPr>
            <w:r w:rsidRPr="001C523D">
              <w:t>2013</w:t>
            </w:r>
          </w:p>
        </w:tc>
        <w:tc>
          <w:tcPr>
            <w:tcW w:w="931" w:type="dxa"/>
            <w:vAlign w:val="center"/>
          </w:tcPr>
          <w:p w14:paraId="1ECC2C96" w14:textId="77777777" w:rsidR="0071424E" w:rsidRPr="001C523D" w:rsidRDefault="0071424E" w:rsidP="00653D12">
            <w:pPr>
              <w:pStyle w:val="af7"/>
            </w:pPr>
            <w:r w:rsidRPr="001C523D">
              <w:t>2014</w:t>
            </w:r>
          </w:p>
        </w:tc>
        <w:tc>
          <w:tcPr>
            <w:tcW w:w="932" w:type="dxa"/>
            <w:vAlign w:val="center"/>
          </w:tcPr>
          <w:p w14:paraId="19D72A6C" w14:textId="77777777" w:rsidR="0071424E" w:rsidRPr="001C523D" w:rsidRDefault="0071424E" w:rsidP="00653D12">
            <w:pPr>
              <w:pStyle w:val="af7"/>
            </w:pPr>
            <w:r w:rsidRPr="001C523D">
              <w:t>2015</w:t>
            </w:r>
          </w:p>
        </w:tc>
        <w:tc>
          <w:tcPr>
            <w:tcW w:w="798" w:type="dxa"/>
            <w:vAlign w:val="center"/>
          </w:tcPr>
          <w:p w14:paraId="6E831FFD" w14:textId="77777777" w:rsidR="0071424E" w:rsidRPr="001C523D" w:rsidRDefault="0071424E" w:rsidP="00653D12">
            <w:pPr>
              <w:pStyle w:val="af7"/>
            </w:pPr>
            <w:r w:rsidRPr="001C523D">
              <w:t>2016</w:t>
            </w:r>
          </w:p>
        </w:tc>
        <w:tc>
          <w:tcPr>
            <w:tcW w:w="1665" w:type="dxa"/>
            <w:vAlign w:val="center"/>
          </w:tcPr>
          <w:p w14:paraId="376F13F0" w14:textId="77777777" w:rsidR="0071424E" w:rsidRPr="001C523D" w:rsidRDefault="0071424E" w:rsidP="00653D12">
            <w:pPr>
              <w:pStyle w:val="af7"/>
            </w:pPr>
            <w:r w:rsidRPr="001C523D">
              <w:t>Среднегодовой темп роста, %</w:t>
            </w:r>
          </w:p>
        </w:tc>
      </w:tr>
      <w:tr w:rsidR="0071424E" w:rsidRPr="001C523D" w14:paraId="5417342C" w14:textId="77777777" w:rsidTr="001828E8">
        <w:trPr>
          <w:trHeight w:val="366"/>
          <w:jc w:val="center"/>
        </w:trPr>
        <w:tc>
          <w:tcPr>
            <w:tcW w:w="3106" w:type="dxa"/>
            <w:vAlign w:val="center"/>
          </w:tcPr>
          <w:p w14:paraId="6DA84640" w14:textId="77777777" w:rsidR="0071424E" w:rsidRPr="001C523D" w:rsidRDefault="0071424E" w:rsidP="00653D12">
            <w:pPr>
              <w:pStyle w:val="af7"/>
            </w:pPr>
            <w:r w:rsidRPr="001C523D">
              <w:t>Нефтеюганский энергорайон</w:t>
            </w:r>
          </w:p>
        </w:tc>
        <w:tc>
          <w:tcPr>
            <w:tcW w:w="931" w:type="dxa"/>
            <w:vAlign w:val="center"/>
          </w:tcPr>
          <w:p w14:paraId="6B9BEAED" w14:textId="77777777" w:rsidR="0071424E" w:rsidRPr="001C523D" w:rsidRDefault="0071424E" w:rsidP="00653D12">
            <w:pPr>
              <w:pStyle w:val="af7"/>
            </w:pPr>
            <w:r w:rsidRPr="001C523D">
              <w:t>2131</w:t>
            </w:r>
          </w:p>
        </w:tc>
        <w:tc>
          <w:tcPr>
            <w:tcW w:w="932" w:type="dxa"/>
            <w:vAlign w:val="center"/>
          </w:tcPr>
          <w:p w14:paraId="579072AB" w14:textId="77777777" w:rsidR="0071424E" w:rsidRPr="001C523D" w:rsidRDefault="0071424E" w:rsidP="00653D12">
            <w:pPr>
              <w:pStyle w:val="af7"/>
            </w:pPr>
            <w:r w:rsidRPr="001C523D">
              <w:t>2326</w:t>
            </w:r>
          </w:p>
        </w:tc>
        <w:tc>
          <w:tcPr>
            <w:tcW w:w="931" w:type="dxa"/>
            <w:vAlign w:val="center"/>
          </w:tcPr>
          <w:p w14:paraId="5B8BEB9A" w14:textId="77777777" w:rsidR="0071424E" w:rsidRPr="001C523D" w:rsidRDefault="0071424E" w:rsidP="00653D12">
            <w:pPr>
              <w:pStyle w:val="af7"/>
            </w:pPr>
            <w:r w:rsidRPr="001C523D">
              <w:t>2350</w:t>
            </w:r>
          </w:p>
        </w:tc>
        <w:tc>
          <w:tcPr>
            <w:tcW w:w="932" w:type="dxa"/>
            <w:vAlign w:val="center"/>
          </w:tcPr>
          <w:p w14:paraId="21DA58DA" w14:textId="77777777" w:rsidR="0071424E" w:rsidRPr="001C523D" w:rsidRDefault="0071424E" w:rsidP="00653D12">
            <w:pPr>
              <w:pStyle w:val="af7"/>
            </w:pPr>
            <w:r w:rsidRPr="001C523D">
              <w:t>2355</w:t>
            </w:r>
          </w:p>
        </w:tc>
        <w:tc>
          <w:tcPr>
            <w:tcW w:w="798" w:type="dxa"/>
            <w:vAlign w:val="center"/>
          </w:tcPr>
          <w:p w14:paraId="508F57DF" w14:textId="77777777" w:rsidR="0071424E" w:rsidRPr="001C523D" w:rsidRDefault="0071424E" w:rsidP="00653D12">
            <w:pPr>
              <w:pStyle w:val="af7"/>
            </w:pPr>
            <w:r w:rsidRPr="001C523D">
              <w:t>2472</w:t>
            </w:r>
          </w:p>
        </w:tc>
        <w:tc>
          <w:tcPr>
            <w:tcW w:w="1665" w:type="dxa"/>
            <w:vAlign w:val="center"/>
          </w:tcPr>
          <w:p w14:paraId="262AD417" w14:textId="77777777" w:rsidR="0071424E" w:rsidRPr="001C523D" w:rsidRDefault="0071424E" w:rsidP="00653D12">
            <w:pPr>
              <w:pStyle w:val="af7"/>
            </w:pPr>
            <w:r w:rsidRPr="001C523D">
              <w:t>103,8%</w:t>
            </w:r>
          </w:p>
        </w:tc>
      </w:tr>
      <w:tr w:rsidR="0071424E" w:rsidRPr="001C523D" w14:paraId="5408AB7B" w14:textId="77777777" w:rsidTr="001828E8">
        <w:trPr>
          <w:trHeight w:val="365"/>
          <w:jc w:val="center"/>
        </w:trPr>
        <w:tc>
          <w:tcPr>
            <w:tcW w:w="3106" w:type="dxa"/>
            <w:vAlign w:val="center"/>
          </w:tcPr>
          <w:p w14:paraId="19395035" w14:textId="77777777" w:rsidR="0071424E" w:rsidRPr="001C523D" w:rsidRDefault="0071424E" w:rsidP="00653D12">
            <w:pPr>
              <w:pStyle w:val="af7"/>
            </w:pPr>
            <w:r w:rsidRPr="001C523D">
              <w:t>ООО «РН-Юганскнефтегаз»</w:t>
            </w:r>
          </w:p>
        </w:tc>
        <w:tc>
          <w:tcPr>
            <w:tcW w:w="931" w:type="dxa"/>
            <w:vAlign w:val="center"/>
          </w:tcPr>
          <w:p w14:paraId="46C6BB06" w14:textId="77777777" w:rsidR="0071424E" w:rsidRPr="001C523D" w:rsidRDefault="0071424E" w:rsidP="00653D12">
            <w:pPr>
              <w:pStyle w:val="af7"/>
            </w:pPr>
            <w:r w:rsidRPr="001C523D">
              <w:t>1383</w:t>
            </w:r>
          </w:p>
        </w:tc>
        <w:tc>
          <w:tcPr>
            <w:tcW w:w="932" w:type="dxa"/>
            <w:vAlign w:val="center"/>
          </w:tcPr>
          <w:p w14:paraId="5101B0BE" w14:textId="77777777" w:rsidR="0071424E" w:rsidRPr="001C523D" w:rsidRDefault="0071424E" w:rsidP="00653D12">
            <w:pPr>
              <w:pStyle w:val="af7"/>
            </w:pPr>
            <w:r w:rsidRPr="001C523D">
              <w:t>1399</w:t>
            </w:r>
          </w:p>
        </w:tc>
        <w:tc>
          <w:tcPr>
            <w:tcW w:w="931" w:type="dxa"/>
            <w:vAlign w:val="center"/>
          </w:tcPr>
          <w:p w14:paraId="48E64183" w14:textId="77777777" w:rsidR="0071424E" w:rsidRPr="001C523D" w:rsidRDefault="0071424E" w:rsidP="00653D12">
            <w:pPr>
              <w:pStyle w:val="af7"/>
            </w:pPr>
            <w:r w:rsidRPr="001C523D">
              <w:t>1469</w:t>
            </w:r>
          </w:p>
        </w:tc>
        <w:tc>
          <w:tcPr>
            <w:tcW w:w="932" w:type="dxa"/>
            <w:vAlign w:val="center"/>
          </w:tcPr>
          <w:p w14:paraId="446C2C49" w14:textId="77777777" w:rsidR="0071424E" w:rsidRPr="001C523D" w:rsidRDefault="0071424E" w:rsidP="00653D12">
            <w:pPr>
              <w:pStyle w:val="af7"/>
            </w:pPr>
            <w:r w:rsidRPr="001C523D">
              <w:t>1496</w:t>
            </w:r>
          </w:p>
        </w:tc>
        <w:tc>
          <w:tcPr>
            <w:tcW w:w="798" w:type="dxa"/>
            <w:vAlign w:val="center"/>
          </w:tcPr>
          <w:p w14:paraId="04EBC35E" w14:textId="77777777" w:rsidR="0071424E" w:rsidRPr="001C523D" w:rsidRDefault="0071424E" w:rsidP="00653D12">
            <w:pPr>
              <w:pStyle w:val="af7"/>
            </w:pPr>
            <w:r w:rsidRPr="001C523D">
              <w:t>1520</w:t>
            </w:r>
          </w:p>
        </w:tc>
        <w:tc>
          <w:tcPr>
            <w:tcW w:w="1665" w:type="dxa"/>
            <w:vAlign w:val="center"/>
          </w:tcPr>
          <w:p w14:paraId="63B28E44" w14:textId="77777777" w:rsidR="0071424E" w:rsidRPr="001C523D" w:rsidRDefault="0071424E" w:rsidP="00653D12">
            <w:pPr>
              <w:pStyle w:val="af7"/>
            </w:pPr>
            <w:r w:rsidRPr="001C523D">
              <w:t>102,4%</w:t>
            </w:r>
          </w:p>
        </w:tc>
      </w:tr>
      <w:tr w:rsidR="0071424E" w:rsidRPr="001C523D" w14:paraId="6839F5A3" w14:textId="77777777" w:rsidTr="001828E8">
        <w:trPr>
          <w:trHeight w:val="324"/>
          <w:jc w:val="center"/>
        </w:trPr>
        <w:tc>
          <w:tcPr>
            <w:tcW w:w="3106" w:type="dxa"/>
            <w:vAlign w:val="center"/>
          </w:tcPr>
          <w:p w14:paraId="6BA77349" w14:textId="77777777" w:rsidR="0071424E" w:rsidRPr="001C523D" w:rsidRDefault="0071424E" w:rsidP="00653D12">
            <w:pPr>
              <w:pStyle w:val="af7"/>
            </w:pPr>
            <w:r w:rsidRPr="001C523D">
              <w:t>ООО «Юрскнефть»</w:t>
            </w:r>
          </w:p>
        </w:tc>
        <w:tc>
          <w:tcPr>
            <w:tcW w:w="931" w:type="dxa"/>
            <w:vAlign w:val="center"/>
          </w:tcPr>
          <w:p w14:paraId="11FE9D0D" w14:textId="77777777" w:rsidR="0071424E" w:rsidRPr="001C523D" w:rsidRDefault="0071424E" w:rsidP="00653D12">
            <w:pPr>
              <w:pStyle w:val="af7"/>
            </w:pPr>
            <w:r w:rsidRPr="001C523D">
              <w:t>32</w:t>
            </w:r>
          </w:p>
        </w:tc>
        <w:tc>
          <w:tcPr>
            <w:tcW w:w="932" w:type="dxa"/>
            <w:vAlign w:val="center"/>
          </w:tcPr>
          <w:p w14:paraId="6FDBB3FE" w14:textId="77777777" w:rsidR="0071424E" w:rsidRPr="001C523D" w:rsidRDefault="0071424E" w:rsidP="00653D12">
            <w:pPr>
              <w:pStyle w:val="af7"/>
            </w:pPr>
            <w:r w:rsidRPr="001C523D">
              <w:t>33</w:t>
            </w:r>
          </w:p>
        </w:tc>
        <w:tc>
          <w:tcPr>
            <w:tcW w:w="931" w:type="dxa"/>
            <w:vAlign w:val="center"/>
          </w:tcPr>
          <w:p w14:paraId="5A9500EC" w14:textId="77777777" w:rsidR="0071424E" w:rsidRPr="001C523D" w:rsidRDefault="0071424E" w:rsidP="00653D12">
            <w:pPr>
              <w:pStyle w:val="af7"/>
            </w:pPr>
            <w:r w:rsidRPr="001C523D">
              <w:t>33</w:t>
            </w:r>
          </w:p>
        </w:tc>
        <w:tc>
          <w:tcPr>
            <w:tcW w:w="932" w:type="dxa"/>
            <w:vAlign w:val="center"/>
          </w:tcPr>
          <w:p w14:paraId="21513C12" w14:textId="77777777" w:rsidR="0071424E" w:rsidRPr="001C523D" w:rsidRDefault="0071424E" w:rsidP="00653D12">
            <w:pPr>
              <w:pStyle w:val="af7"/>
            </w:pPr>
            <w:r w:rsidRPr="001C523D">
              <w:t>38</w:t>
            </w:r>
          </w:p>
        </w:tc>
        <w:tc>
          <w:tcPr>
            <w:tcW w:w="798" w:type="dxa"/>
            <w:vAlign w:val="center"/>
          </w:tcPr>
          <w:p w14:paraId="447A4C51" w14:textId="77777777" w:rsidR="0071424E" w:rsidRPr="001C523D" w:rsidRDefault="0071424E" w:rsidP="00653D12">
            <w:pPr>
              <w:pStyle w:val="af7"/>
            </w:pPr>
            <w:r w:rsidRPr="001C523D">
              <w:t>40</w:t>
            </w:r>
          </w:p>
        </w:tc>
        <w:tc>
          <w:tcPr>
            <w:tcW w:w="1665" w:type="dxa"/>
            <w:vAlign w:val="center"/>
          </w:tcPr>
          <w:p w14:paraId="22CE87BC" w14:textId="77777777" w:rsidR="0071424E" w:rsidRPr="001C523D" w:rsidRDefault="0071424E" w:rsidP="00653D12">
            <w:pPr>
              <w:pStyle w:val="af7"/>
            </w:pPr>
            <w:r w:rsidRPr="001C523D">
              <w:t>105,7%</w:t>
            </w:r>
          </w:p>
        </w:tc>
      </w:tr>
    </w:tbl>
    <w:p w14:paraId="12914CDA" w14:textId="77777777" w:rsidR="0071424E" w:rsidRPr="00653D12" w:rsidRDefault="0071424E" w:rsidP="00A93D7F">
      <w:pPr>
        <w:rPr>
          <w:sz w:val="20"/>
          <w:szCs w:val="20"/>
        </w:rPr>
      </w:pPr>
      <w:r w:rsidRPr="00653D12">
        <w:rPr>
          <w:sz w:val="20"/>
          <w:szCs w:val="20"/>
        </w:rPr>
        <w:t>Источник: Схема и программа развития электроэнергетики Ханты-Мансийского автономного округа – Югры на период до 2022 года</w:t>
      </w:r>
    </w:p>
    <w:p w14:paraId="6B3E0A7B" w14:textId="77777777" w:rsidR="0071424E" w:rsidRPr="00532EB6" w:rsidRDefault="0071424E" w:rsidP="00A93D7F"/>
    <w:p w14:paraId="4624EEDE" w14:textId="77777777" w:rsidR="0071424E" w:rsidRDefault="0071424E" w:rsidP="00A93D7F">
      <w:r w:rsidRPr="00CB200B">
        <w:t>На территории района электроснабжение осуществляется от электроэнергетической с</w:t>
      </w:r>
      <w:r w:rsidRPr="007A6DDA">
        <w:t xml:space="preserve">истемы Ханты-Мансийского автономного округа (ЭЭС). Нефтеюганский энергорайон является дефицитным, покрытие дефицита мощности осуществляется в основном от Сургутской ГРЭС-1 и Сургутской ГРЭС-2 по сети 500 кВ и </w:t>
      </w:r>
      <w:r w:rsidRPr="007A6DDA">
        <w:lastRenderedPageBreak/>
        <w:t>по сети 220 кВ. Часть электроэнергии вырабатывается электростанциями промышленных предприятий, введенных в эксплуатацию на месторождениях нефтяных компаний.</w:t>
      </w:r>
    </w:p>
    <w:p w14:paraId="11ECA0EE" w14:textId="77777777" w:rsidR="0071424E" w:rsidRPr="00912F5A" w:rsidRDefault="0071424E" w:rsidP="00A93D7F">
      <w:pPr>
        <w:rPr>
          <w:sz w:val="26"/>
        </w:rPr>
      </w:pPr>
      <w:r w:rsidRPr="007A6DDA">
        <w:t xml:space="preserve">В населенных пунктах </w:t>
      </w:r>
      <w:r>
        <w:t xml:space="preserve">Нефтеюганского муниципального района </w:t>
      </w:r>
      <w:r w:rsidRPr="007A6DDA">
        <w:t xml:space="preserve">насчитывается около </w:t>
      </w:r>
      <w:r w:rsidRPr="00912F5A">
        <w:t>459,44 км воздушных и кабельных линий, 149 трансформаторных подстанций. Электроснабжение в пределах Нефтеюганского района осуществляют две электросетевые организации: ОАО «Пойковские электрические сети» (ПЭС) и ООО «Сибтрансэлектро».</w:t>
      </w:r>
      <w:r w:rsidRPr="00B664D7">
        <w:rPr>
          <w:sz w:val="26"/>
        </w:rPr>
        <w:t xml:space="preserve"> </w:t>
      </w:r>
    </w:p>
    <w:p w14:paraId="3DE67B9D" w14:textId="77777777" w:rsidR="0071424E" w:rsidRDefault="0071424E" w:rsidP="00A93D7F">
      <w:pPr>
        <w:rPr>
          <w:rFonts w:eastAsia="Calibri"/>
        </w:rPr>
      </w:pPr>
      <w:r w:rsidRPr="007A6DDA">
        <w:t>В соответствии со Схемой и программой развития электроэнергетики Ханты-Мансийского автономного округа – Югры на период до 2022 года, основной рост потребления электрической мощности ЭЭС автономного округа на рассматриваемый перспективный период до 2022 г. намечается в Нефтеюганском энергорайоне, что обусловлено разработкой и увеличением нефтедобычи и электропотребления нефтяных месторождений ООО «РН-Юганскнефтегаз».</w:t>
      </w:r>
      <w:r>
        <w:t xml:space="preserve"> </w:t>
      </w:r>
      <w:r w:rsidRPr="007A6DDA">
        <w:t xml:space="preserve">В соответствии с заявлениями предприятий-потребителей электроэнергии, осуществляющих деятельность на территории Нефтеюганского района, в течение периода 2018-2022 гг. планируются к вводу 9 </w:t>
      </w:r>
      <w:r w:rsidRPr="007A6DDA">
        <w:rPr>
          <w:rFonts w:eastAsia="Calibri"/>
        </w:rPr>
        <w:t>ПС 110 кВ и одна ПС 220 кВ, суммарной мощностью 111,9 МВт.</w:t>
      </w:r>
    </w:p>
    <w:p w14:paraId="26CC11EB" w14:textId="77777777" w:rsidR="001828E8" w:rsidRDefault="001828E8" w:rsidP="00A93D7F"/>
    <w:p w14:paraId="6650CBB3" w14:textId="77777777" w:rsidR="0071424E" w:rsidRPr="00653D12" w:rsidRDefault="0071424E" w:rsidP="00A93D7F">
      <w:pPr>
        <w:rPr>
          <w:i/>
        </w:rPr>
      </w:pPr>
      <w:r w:rsidRPr="00653D12">
        <w:rPr>
          <w:i/>
        </w:rPr>
        <w:t xml:space="preserve">Система газоснабжения </w:t>
      </w:r>
    </w:p>
    <w:p w14:paraId="44A37B00" w14:textId="77777777" w:rsidR="0071424E" w:rsidRDefault="0071424E" w:rsidP="00A93D7F">
      <w:r w:rsidRPr="00630D82">
        <w:t>Система газоснабжения Нефтеюганского района представлена магистральным газопроводом «Уренгой-Челябинск», двумя магистральны</w:t>
      </w:r>
      <w:r>
        <w:t>ми газопроводами – отводами п. </w:t>
      </w:r>
      <w:r w:rsidRPr="00630D82">
        <w:t xml:space="preserve">Ю-Балык </w:t>
      </w:r>
      <w:r w:rsidRPr="006B4165">
        <w:t>–</w:t>
      </w:r>
      <w:r w:rsidRPr="00630D82">
        <w:t xml:space="preserve"> г. Нефтеюганск и п. Ю-Балык</w:t>
      </w:r>
      <w:r>
        <w:t xml:space="preserve"> </w:t>
      </w:r>
      <w:r w:rsidRPr="006B4165">
        <w:t>–</w:t>
      </w:r>
      <w:r>
        <w:t xml:space="preserve"> </w:t>
      </w:r>
      <w:r w:rsidRPr="00630D82">
        <w:t>граница Ханты-Мансийского района. Вдоль магистрального газопровода «Уренгой - Челябинск» расположены компрессорные станции КС-5 «Молодежная» (рабочий поселок) и КС-6 «Са</w:t>
      </w:r>
      <w:r>
        <w:t>мсоновская» (рабочий поселок), н</w:t>
      </w:r>
      <w:r w:rsidRPr="00630D82">
        <w:t xml:space="preserve">а территории района </w:t>
      </w:r>
      <w:r>
        <w:t xml:space="preserve">также </w:t>
      </w:r>
      <w:r w:rsidRPr="00630D82">
        <w:t>расположен газоперера</w:t>
      </w:r>
      <w:r>
        <w:t xml:space="preserve">батывающий завод ГПЗ «Ю-Балык». </w:t>
      </w:r>
    </w:p>
    <w:p w14:paraId="4EB29B32" w14:textId="77777777" w:rsidR="0071424E" w:rsidRDefault="0071424E" w:rsidP="00A93D7F">
      <w:r w:rsidRPr="00B37975">
        <w:t xml:space="preserve">В настоящее время поставляемый в населенные пункты района газ служит преимущественно для работы котельных, обеспечивающих жителей теплоснабжением (газ используют 15 котельных для производства тепловой энергии). При этом жилищный фонд большинства населенных пунктов остается не газифицирован: из 11 населенных пунктов, расположенных вдоль магистральных газопроводов, газифицированы </w:t>
      </w:r>
      <w:r>
        <w:t>только гп. Пойковский,</w:t>
      </w:r>
      <w:r w:rsidRPr="00B37975">
        <w:t xml:space="preserve"> сп. Салым</w:t>
      </w:r>
      <w:r>
        <w:t xml:space="preserve"> и </w:t>
      </w:r>
      <w:r w:rsidRPr="00B37975">
        <w:t>сп. Куть-Ях. Остальные поселки обеспечиваются привозным в баллонах сжиженным газом, планируется газификация сп. </w:t>
      </w:r>
      <w:r>
        <w:t>Лемпино,</w:t>
      </w:r>
      <w:r w:rsidRPr="00B37975">
        <w:t xml:space="preserve"> сп. Сингапай и с. Чеускино.</w:t>
      </w:r>
    </w:p>
    <w:p w14:paraId="34F8B218" w14:textId="77777777" w:rsidR="0071424E" w:rsidRDefault="0071424E" w:rsidP="00A93D7F">
      <w:r w:rsidRPr="00630D82">
        <w:t>Газификация природным газом населенных пунктов муниципальных образований</w:t>
      </w:r>
      <w:r w:rsidRPr="000C4CE6">
        <w:t xml:space="preserve"> </w:t>
      </w:r>
      <w:r w:rsidRPr="00630D82">
        <w:t>с низкой плотностью населения, удаленных от магистральных газопроводов, является</w:t>
      </w:r>
      <w:r>
        <w:t xml:space="preserve"> экономически нецелесообразной. При анализе текущего состояния</w:t>
      </w:r>
      <w:r w:rsidRPr="00630D82">
        <w:t xml:space="preserve"> системы газоснабжения </w:t>
      </w:r>
      <w:r>
        <w:t>Нефтеюганского района выявлено</w:t>
      </w:r>
      <w:r w:rsidRPr="00630D82">
        <w:t xml:space="preserve"> наличие следующих проблем:</w:t>
      </w:r>
      <w:r>
        <w:t xml:space="preserve"> </w:t>
      </w:r>
      <w:r w:rsidRPr="00630D82">
        <w:t>отсутствие рез</w:t>
      </w:r>
      <w:r>
        <w:t xml:space="preserve">ервных источников газоснабжения и </w:t>
      </w:r>
      <w:r w:rsidRPr="00630D82">
        <w:t>отсутствие централизованного газоснабжения населенных пунктов, находящихся в непосредственной близости от магистральных газопроводов. </w:t>
      </w:r>
    </w:p>
    <w:p w14:paraId="43D50FE5" w14:textId="77777777" w:rsidR="0071424E" w:rsidRDefault="0071424E" w:rsidP="00A93D7F"/>
    <w:p w14:paraId="5FCFA17A" w14:textId="77777777" w:rsidR="0071424E" w:rsidRPr="00653D12" w:rsidRDefault="0071424E" w:rsidP="00A93D7F">
      <w:pPr>
        <w:rPr>
          <w:i/>
        </w:rPr>
      </w:pPr>
      <w:r w:rsidRPr="00653D12">
        <w:rPr>
          <w:i/>
        </w:rPr>
        <w:t>Система теплоснабжения</w:t>
      </w:r>
    </w:p>
    <w:p w14:paraId="3B72A4A1" w14:textId="2AD92C1A" w:rsidR="0071424E" w:rsidRPr="00524AEA" w:rsidRDefault="0071424E" w:rsidP="00A93D7F">
      <w:pPr>
        <w:rPr>
          <w:color w:val="000000"/>
        </w:rPr>
      </w:pPr>
      <w:r w:rsidRPr="00B664D7">
        <w:t xml:space="preserve">В Нефтеюганском районе централизованная система теплоснабжения имеется во всех населенных пунктах. По состоянию на 01 января 2017 </w:t>
      </w:r>
      <w:r>
        <w:t>г.</w:t>
      </w:r>
      <w:r w:rsidRPr="00B664D7">
        <w:t xml:space="preserve"> источниками теплоснабжения являются 21 котельн</w:t>
      </w:r>
      <w:r>
        <w:t>ая</w:t>
      </w:r>
      <w:r w:rsidRPr="00B664D7">
        <w:t>, в том числе 1</w:t>
      </w:r>
      <w:r>
        <w:t xml:space="preserve">6 муниципальных, </w:t>
      </w:r>
      <w:r w:rsidRPr="00B664D7">
        <w:t>5 ведомственных. Из 21 котельн</w:t>
      </w:r>
      <w:r>
        <w:t>ой</w:t>
      </w:r>
      <w:r w:rsidRPr="00B664D7">
        <w:t xml:space="preserve"> 15 работают на газообразном топливе и 6 </w:t>
      </w:r>
      <w:r>
        <w:t xml:space="preserve">– </w:t>
      </w:r>
      <w:r w:rsidRPr="00B664D7">
        <w:t xml:space="preserve">на нефти. Котельные введены в эксплуатацию с 1971 г. по 2001 г., одна котельная </w:t>
      </w:r>
      <w:r>
        <w:t xml:space="preserve">– </w:t>
      </w:r>
      <w:r w:rsidRPr="00B664D7">
        <w:t xml:space="preserve">в 2010 </w:t>
      </w:r>
      <w:r>
        <w:t>г</w:t>
      </w:r>
      <w:r w:rsidRPr="00B664D7">
        <w:t xml:space="preserve">. </w:t>
      </w:r>
      <w:r>
        <w:t xml:space="preserve">На территории района действуют 8 теплоснабжающих организаций: </w:t>
      </w:r>
      <w:r w:rsidRPr="00A76D53">
        <w:rPr>
          <w:color w:val="000000"/>
        </w:rPr>
        <w:t>ПМУП «УТВС»</w:t>
      </w:r>
      <w:r>
        <w:rPr>
          <w:color w:val="000000"/>
        </w:rPr>
        <w:t xml:space="preserve"> (зона действия – гп. Пойковский, сп. Лемпино, сп. Усть-Юган), ООО «Тепловик» (сп. Салым), ООО «Тепловик 2» (сп. Куть-Ях), ООО «Коммунальное предприятие «Про</w:t>
      </w:r>
      <w:r w:rsidR="00B37CB2">
        <w:rPr>
          <w:color w:val="000000"/>
        </w:rPr>
        <w:t>мысловик» (сп.  Сентябрьский, с</w:t>
      </w:r>
      <w:r>
        <w:rPr>
          <w:color w:val="000000"/>
        </w:rPr>
        <w:t xml:space="preserve">п. Каркатеевы), ООО «СервисКомфорт», ООО «ЮграКомфорт», </w:t>
      </w:r>
      <w:r>
        <w:rPr>
          <w:color w:val="000000"/>
        </w:rPr>
        <w:lastRenderedPageBreak/>
        <w:t xml:space="preserve">ОАО «Тюменьэнерго» и ООО «Юнг-Теплонефть» (сп. Сингапай). </w:t>
      </w:r>
      <w:r w:rsidRPr="00B664D7">
        <w:t>По данным организаций, оказывающих услуги теплоснаб</w:t>
      </w:r>
      <w:r>
        <w:t>жения, КПД котлов составляет 92</w:t>
      </w:r>
      <w:r w:rsidRPr="00B664D7">
        <w:t>%.</w:t>
      </w:r>
    </w:p>
    <w:p w14:paraId="38229020" w14:textId="77777777" w:rsidR="0071424E" w:rsidRPr="00B664D7" w:rsidRDefault="0071424E" w:rsidP="00A93D7F">
      <w:r w:rsidRPr="00B664D7">
        <w:t>Общая протяженность тепловых сетей в двухтрубном исчислении составляет 154,862 км, из них 125,697</w:t>
      </w:r>
      <w:r>
        <w:t xml:space="preserve"> </w:t>
      </w:r>
      <w:r w:rsidRPr="00B664D7">
        <w:t>км – в муниципальной собственности, в т.</w:t>
      </w:r>
      <w:r>
        <w:t> </w:t>
      </w:r>
      <w:r w:rsidRPr="00B664D7">
        <w:t xml:space="preserve">ч. ветхих </w:t>
      </w:r>
      <w:r>
        <w:t xml:space="preserve">– </w:t>
      </w:r>
      <w:r w:rsidRPr="00B664D7">
        <w:t>16,3 км.</w:t>
      </w:r>
    </w:p>
    <w:p w14:paraId="20FFFB16" w14:textId="77777777" w:rsidR="0071424E" w:rsidRDefault="0071424E" w:rsidP="00A93D7F">
      <w:r w:rsidRPr="00B664D7">
        <w:t>В Нефтеюганском районе принимаются меры по зам</w:t>
      </w:r>
      <w:r>
        <w:t>ене ветхих сетей теплоснабжения</w:t>
      </w:r>
      <w:r w:rsidRPr="00B664D7">
        <w:t>, в 201</w:t>
      </w:r>
      <w:r>
        <w:t>6 г. было отремонтировано</w:t>
      </w:r>
      <w:r w:rsidRPr="00B664D7">
        <w:t xml:space="preserve"> </w:t>
      </w:r>
      <w:r w:rsidRPr="00D17032">
        <w:t>6,</w:t>
      </w:r>
      <w:r>
        <w:t>35</w:t>
      </w:r>
      <w:r w:rsidRPr="00D17032">
        <w:t xml:space="preserve"> км</w:t>
      </w:r>
      <w:r w:rsidRPr="00B664D7">
        <w:rPr>
          <w:color w:val="000000"/>
          <w:shd w:val="clear" w:color="auto" w:fill="FFFFFF"/>
        </w:rPr>
        <w:t xml:space="preserve"> </w:t>
      </w:r>
      <w:r w:rsidRPr="00B664D7">
        <w:t>тепловых сетей</w:t>
      </w:r>
      <w:r>
        <w:t xml:space="preserve"> (5,05</w:t>
      </w:r>
      <w:r w:rsidRPr="00D17032">
        <w:t>% от общей протяженности муниципальных тепловых сетей</w:t>
      </w:r>
      <w:r>
        <w:t>)</w:t>
      </w:r>
      <w:r w:rsidRPr="00B664D7">
        <w:t xml:space="preserve">. В результате, в отопительном периоде 2016-2017 </w:t>
      </w:r>
      <w:r>
        <w:t>гг.</w:t>
      </w:r>
      <w:r w:rsidRPr="00B664D7">
        <w:t xml:space="preserve"> аварий на сетях теплоснабжения не возникало. На текущий момент отрасль теплоснабжения представляет наиболее широкий потенциал для экономии энергоресурсов. Несмотря на то, что за последние годы достигнуты некоторые результаты в области повышения эффективности теплосетевого комплекса, энергоемкость отрасли является еще достаточно высокой.</w:t>
      </w:r>
    </w:p>
    <w:p w14:paraId="17503E35" w14:textId="77777777" w:rsidR="0071424E" w:rsidRDefault="0071424E" w:rsidP="00A93D7F">
      <w:r>
        <w:t xml:space="preserve">В самом крупном населенном пункте района гп. Пойковский от централизованной </w:t>
      </w:r>
      <w:r w:rsidRPr="00A76D53">
        <w:t>системы теплоснабж</w:t>
      </w:r>
      <w:r>
        <w:t>ения обеспечивается 96,4% всей</w:t>
      </w:r>
      <w:r w:rsidRPr="00A76D53">
        <w:t xml:space="preserve"> теплово</w:t>
      </w:r>
      <w:r>
        <w:t>й нагрузки жилого района, централизованным теплоснабжением</w:t>
      </w:r>
      <w:r w:rsidRPr="00A76D53">
        <w:t xml:space="preserve"> </w:t>
      </w:r>
      <w:r>
        <w:t xml:space="preserve">охвачены 97,7% потребителей тепловой энергии, </w:t>
      </w:r>
      <w:r w:rsidRPr="00A76D53">
        <w:t xml:space="preserve">часть </w:t>
      </w:r>
      <w:r>
        <w:t>жилых домов обеспечиваются теп</w:t>
      </w:r>
      <w:r w:rsidRPr="00A76D53">
        <w:t>лом от индивидуальных газовых котлов. В</w:t>
      </w:r>
      <w:r>
        <w:t> </w:t>
      </w:r>
      <w:r w:rsidRPr="00A76D53">
        <w:t>целом</w:t>
      </w:r>
      <w:r>
        <w:t>,</w:t>
      </w:r>
      <w:r w:rsidRPr="00A76D53">
        <w:t xml:space="preserve"> </w:t>
      </w:r>
      <w:r>
        <w:t>система теплоснабжения гп. Пой</w:t>
      </w:r>
      <w:r w:rsidRPr="00A76D53">
        <w:t>к</w:t>
      </w:r>
      <w:r>
        <w:t>овский находится в удовлетворительном со</w:t>
      </w:r>
      <w:r w:rsidRPr="00A76D53">
        <w:t>стоянии и может обеспечивать надежное теплоснабжение всех</w:t>
      </w:r>
      <w:r>
        <w:t xml:space="preserve"> подключенных к ней потребителей. В </w:t>
      </w:r>
      <w:r w:rsidRPr="00A76D53">
        <w:t>последние годы была вып</w:t>
      </w:r>
      <w:r>
        <w:t>олнена ее частичная реконструк</w:t>
      </w:r>
      <w:r w:rsidRPr="00A76D53">
        <w:t xml:space="preserve">ция, вложены значительные средства с целью повышения энергоэффективности и улучшения технического состояния системы. </w:t>
      </w:r>
    </w:p>
    <w:p w14:paraId="7C6F281B" w14:textId="77777777" w:rsidR="0071424E" w:rsidRDefault="0071424E" w:rsidP="00A93D7F">
      <w:r w:rsidRPr="00A76D53">
        <w:t>В перспективе зоны теплоснабжения центр</w:t>
      </w:r>
      <w:r>
        <w:t>ализованных теплоисточников в гп. Пойковский со</w:t>
      </w:r>
      <w:r w:rsidRPr="00A76D53">
        <w:t>храняются практически в существующих границах. Новые жилые и общественные объекты строятся в пределах радиуса эффективно</w:t>
      </w:r>
      <w:r>
        <w:t>го теплоснабжения теплоисточни</w:t>
      </w:r>
      <w:r w:rsidRPr="00A76D53">
        <w:t>ков на месте сносимых зданий, за исключением микрор</w:t>
      </w:r>
      <w:r>
        <w:t>айонов 5 и 7, застройка кото</w:t>
      </w:r>
      <w:r w:rsidRPr="00A76D53">
        <w:t xml:space="preserve">рых ведется на </w:t>
      </w:r>
      <w:r>
        <w:t>свободных территориях. Зона дей</w:t>
      </w:r>
      <w:r w:rsidRPr="00A76D53">
        <w:t>ствия индивидуального теплоснабжения расширяе</w:t>
      </w:r>
      <w:r>
        <w:t>тся за счет строи</w:t>
      </w:r>
      <w:r w:rsidRPr="00A76D53">
        <w:t>тельст</w:t>
      </w:r>
      <w:r>
        <w:t>ва новых жилых домов в микрорай</w:t>
      </w:r>
      <w:r w:rsidRPr="00A76D53">
        <w:t xml:space="preserve">оне 8. </w:t>
      </w:r>
    </w:p>
    <w:p w14:paraId="4F627E22" w14:textId="77777777" w:rsidR="0071424E" w:rsidRDefault="0071424E" w:rsidP="00A93D7F">
      <w:r>
        <w:t>На территории района значительная часть перспективной жилой и общественной застройки</w:t>
      </w:r>
      <w:r w:rsidRPr="00A76D53">
        <w:t xml:space="preserve"> предусматривается, главным образом, на месте сносимого ветхого жи</w:t>
      </w:r>
      <w:r>
        <w:t>лья, т.е. на территориях, обеспеченных инженерной инфраструктурой</w:t>
      </w:r>
      <w:r w:rsidRPr="002C7CA4">
        <w:t>. Прогнозируемый рост потребности в теплоснабжении в связи с увеличением фактически вводимых в эксплуатацию площадей строительных фондов и реализуемых программ по строительству бюджетного жилья</w:t>
      </w:r>
      <w:r>
        <w:t xml:space="preserve"> и, как следствие, </w:t>
      </w:r>
      <w:r w:rsidRPr="002C7CA4">
        <w:t xml:space="preserve">ростом числа потребителей тепловой </w:t>
      </w:r>
      <w:r>
        <w:t>энергии</w:t>
      </w:r>
      <w:r w:rsidRPr="002C7CA4">
        <w:t xml:space="preserve"> может быть покрыт за счет существующих резервов</w:t>
      </w:r>
      <w:r>
        <w:t xml:space="preserve"> тепловой мощности котельных, расположенных на территории городского и сельских поселений. Для территорий перспективной застройки ИЖС, расположенных за пределами радиуса эффективного теплоснабжения ресурсоснабжающих организаций, </w:t>
      </w:r>
      <w:r w:rsidRPr="00A76D53">
        <w:t>теплоснабжение предусматривается от индивидуальных теплогенераторов (ИТГ)</w:t>
      </w:r>
      <w:r>
        <w:t>, работающих на газообраз</w:t>
      </w:r>
      <w:r w:rsidRPr="00A76D53">
        <w:t>ном топливе.</w:t>
      </w:r>
    </w:p>
    <w:p w14:paraId="286CB3DE" w14:textId="77777777" w:rsidR="00AB4F2B" w:rsidRDefault="00AB4F2B" w:rsidP="00A93D7F"/>
    <w:p w14:paraId="2C25998F" w14:textId="5C4D0FAB" w:rsidR="00383795" w:rsidRDefault="00AA7478" w:rsidP="00AB4F2B">
      <w:r>
        <w:rPr>
          <w:noProof/>
        </w:rPr>
        <w:lastRenderedPageBreak/>
        <w:drawing>
          <wp:inline distT="0" distB="0" distL="0" distR="0" wp14:anchorId="0DA5DA12" wp14:editId="4D6B36E3">
            <wp:extent cx="5114186" cy="2309012"/>
            <wp:effectExtent l="0" t="0" r="0" b="25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830B6D" w14:textId="44A8DF5B" w:rsidR="0049553A" w:rsidRDefault="0049553A" w:rsidP="00A93D7F">
      <w:pPr>
        <w:pStyle w:val="ac"/>
      </w:pPr>
      <w:r w:rsidRPr="00BD739E">
        <w:t xml:space="preserve">Рисунок </w:t>
      </w:r>
      <w:fldSimple w:instr=" SEQ Рисунок \* ARABIC ">
        <w:r w:rsidR="00ED1BAA">
          <w:rPr>
            <w:noProof/>
          </w:rPr>
          <w:t>17</w:t>
        </w:r>
      </w:fldSimple>
      <w:r w:rsidRPr="00BD739E">
        <w:t xml:space="preserve"> Динамика одноставочного тарифа на тепловую энергию в гп. Пойковский в 2012-2017 гг., руб./Гкал</w:t>
      </w:r>
    </w:p>
    <w:p w14:paraId="0420484A" w14:textId="77777777" w:rsidR="00727093" w:rsidRPr="00727093" w:rsidRDefault="00727093" w:rsidP="00A93D7F"/>
    <w:p w14:paraId="5713029A" w14:textId="754A764A" w:rsidR="0071424E" w:rsidRDefault="0071424E" w:rsidP="00A93D7F">
      <w:r>
        <w:t xml:space="preserve">Одним из ключевых рисков развития системы теплоснабжения остается обеспечение баланса роста тарифов на коммунальные услуги в соответствии с объективными затратами теплоснабжающих организаций и доступности услуг теплоснабжения для населения района. По состоянию на </w:t>
      </w:r>
      <w:r>
        <w:rPr>
          <w:lang w:val="en-US"/>
        </w:rPr>
        <w:t>I</w:t>
      </w:r>
      <w:r w:rsidRPr="00586A0C">
        <w:t xml:space="preserve"> </w:t>
      </w:r>
      <w:r>
        <w:t xml:space="preserve">кв. 2017 г. одноставочный тариф на тепловую энергию в гп. Пойковский составил 2 548,07 руб./Гкал, рост тарифа по отношению к </w:t>
      </w:r>
      <w:r>
        <w:rPr>
          <w:lang w:val="en-US"/>
        </w:rPr>
        <w:t>I</w:t>
      </w:r>
      <w:r w:rsidRPr="00586A0C">
        <w:t xml:space="preserve"> </w:t>
      </w:r>
      <w:r>
        <w:t>кв. 2012 г. составил 794,59 руб. Таким образом, в течение периода 2011-2016 гг. рост одноставочного тарифа на тепловую энергию составил 145,3%, в среднем за год тариф увеличивался на 7,8%. У</w:t>
      </w:r>
      <w:r w:rsidRPr="009E08B5">
        <w:t xml:space="preserve">словия работы тепловых сетей </w:t>
      </w:r>
      <w:r>
        <w:t>в тяжелых климатических условиях,</w:t>
      </w:r>
      <w:r w:rsidRPr="009E08B5">
        <w:t xml:space="preserve"> </w:t>
      </w:r>
      <w:r>
        <w:t>высокие износы и необходимость замены ветхих сетей на территории района усилиями теплоснабжающих организаций окажет влияние на рост тарифа на тепловую энергию и в долгосрочном периоде.</w:t>
      </w:r>
    </w:p>
    <w:p w14:paraId="0F57B679" w14:textId="77777777" w:rsidR="0071424E" w:rsidRPr="00B6082F" w:rsidRDefault="0071424E" w:rsidP="00A93D7F">
      <w:r>
        <w:t>В настоящий момент имеется ряд ограничений развития системы теплоснабжения Н</w:t>
      </w:r>
      <w:r w:rsidRPr="00B6082F">
        <w:t>ефтеюганского района, в частности:</w:t>
      </w:r>
    </w:p>
    <w:p w14:paraId="33000258" w14:textId="77777777" w:rsidR="0071424E" w:rsidRPr="009E08B5" w:rsidRDefault="0071424E" w:rsidP="00A93D7F">
      <w:pPr>
        <w:pStyle w:val="a0"/>
        <w:numPr>
          <w:ilvl w:val="0"/>
          <w:numId w:val="6"/>
        </w:numPr>
      </w:pPr>
      <w:r w:rsidRPr="009E08B5">
        <w:t>функционирование котельных со значительным превышением своего нормативного срока и физический износ оборудования котельных, аварийное состояние зданий котельных;</w:t>
      </w:r>
    </w:p>
    <w:p w14:paraId="2266C143" w14:textId="77777777" w:rsidR="0071424E" w:rsidRPr="009E08B5" w:rsidRDefault="0071424E" w:rsidP="00A93D7F">
      <w:pPr>
        <w:pStyle w:val="a0"/>
        <w:numPr>
          <w:ilvl w:val="0"/>
          <w:numId w:val="6"/>
        </w:numPr>
      </w:pPr>
      <w:r w:rsidRPr="009E08B5">
        <w:t xml:space="preserve">низкая энергоэффективность выработавшего свой ресурс оборудования и </w:t>
      </w:r>
      <w:r w:rsidRPr="00B6082F">
        <w:t>потери топлива при транспортировке до конечного потребителя</w:t>
      </w:r>
      <w:r w:rsidRPr="009E08B5">
        <w:t>;</w:t>
      </w:r>
    </w:p>
    <w:p w14:paraId="5B10F244" w14:textId="77777777" w:rsidR="0071424E" w:rsidRPr="009E08B5" w:rsidRDefault="0071424E" w:rsidP="00A93D7F">
      <w:pPr>
        <w:pStyle w:val="a0"/>
        <w:numPr>
          <w:ilvl w:val="0"/>
          <w:numId w:val="6"/>
        </w:numPr>
      </w:pPr>
      <w:r w:rsidRPr="009E08B5">
        <w:t xml:space="preserve">условия работы тепловых сетей </w:t>
      </w:r>
      <w:r>
        <w:t>в тяжелых климатических условиях</w:t>
      </w:r>
      <w:r w:rsidRPr="009E08B5">
        <w:t xml:space="preserve"> при наличии постоянных грунтовых вод и резких смен температуры наружного воздуха в отопительный период;</w:t>
      </w:r>
    </w:p>
    <w:p w14:paraId="342B0D1F" w14:textId="77777777" w:rsidR="0071424E" w:rsidRPr="009E08B5" w:rsidRDefault="0071424E" w:rsidP="00A93D7F">
      <w:pPr>
        <w:pStyle w:val="a0"/>
        <w:numPr>
          <w:ilvl w:val="0"/>
          <w:numId w:val="6"/>
        </w:numPr>
      </w:pPr>
      <w:r w:rsidRPr="009E08B5">
        <w:t xml:space="preserve">необходимость перевода потребителей на закрытую схему ГВС </w:t>
      </w:r>
      <w:r>
        <w:t>в сельских поселениях (с</w:t>
      </w:r>
      <w:r w:rsidRPr="009E08B5">
        <w:t xml:space="preserve">п. Лемпино); </w:t>
      </w:r>
    </w:p>
    <w:p w14:paraId="72A31FBF" w14:textId="77777777" w:rsidR="0071424E" w:rsidRPr="00A460DE" w:rsidRDefault="0071424E" w:rsidP="00A93D7F">
      <w:pPr>
        <w:pStyle w:val="a0"/>
        <w:numPr>
          <w:ilvl w:val="0"/>
          <w:numId w:val="6"/>
        </w:numPr>
      </w:pPr>
      <w:r w:rsidRPr="00B6082F">
        <w:t>наличие</w:t>
      </w:r>
      <w:r w:rsidRPr="009E08B5">
        <w:rPr>
          <w:spacing w:val="4"/>
        </w:rPr>
        <w:t xml:space="preserve"> </w:t>
      </w:r>
      <w:r w:rsidRPr="00B6082F">
        <w:t>б</w:t>
      </w:r>
      <w:r w:rsidRPr="009E08B5">
        <w:rPr>
          <w:spacing w:val="-1"/>
        </w:rPr>
        <w:t>ес</w:t>
      </w:r>
      <w:r w:rsidRPr="009E08B5">
        <w:rPr>
          <w:spacing w:val="2"/>
        </w:rPr>
        <w:t>х</w:t>
      </w:r>
      <w:r w:rsidRPr="00B6082F">
        <w:t>о</w:t>
      </w:r>
      <w:r w:rsidRPr="009E08B5">
        <w:rPr>
          <w:spacing w:val="1"/>
        </w:rPr>
        <w:t>з</w:t>
      </w:r>
      <w:r w:rsidRPr="009E08B5">
        <w:rPr>
          <w:spacing w:val="-2"/>
        </w:rPr>
        <w:t>я</w:t>
      </w:r>
      <w:r w:rsidRPr="009E08B5">
        <w:rPr>
          <w:spacing w:val="1"/>
        </w:rPr>
        <w:t>йн</w:t>
      </w:r>
      <w:r w:rsidRPr="009E08B5">
        <w:rPr>
          <w:spacing w:val="-3"/>
        </w:rPr>
        <w:t>ы</w:t>
      </w:r>
      <w:r w:rsidRPr="00B6082F">
        <w:t>х</w:t>
      </w:r>
      <w:r w:rsidRPr="009E08B5">
        <w:rPr>
          <w:spacing w:val="5"/>
        </w:rPr>
        <w:t xml:space="preserve"> </w:t>
      </w:r>
      <w:r w:rsidRPr="00B6082F">
        <w:t>т</w:t>
      </w:r>
      <w:r w:rsidRPr="009E08B5">
        <w:rPr>
          <w:spacing w:val="-3"/>
        </w:rPr>
        <w:t>е</w:t>
      </w:r>
      <w:r w:rsidRPr="009E08B5">
        <w:rPr>
          <w:spacing w:val="1"/>
        </w:rPr>
        <w:t>п</w:t>
      </w:r>
      <w:r w:rsidRPr="00B6082F">
        <w:t xml:space="preserve">ловых </w:t>
      </w:r>
      <w:r w:rsidRPr="009E08B5">
        <w:rPr>
          <w:spacing w:val="-1"/>
        </w:rPr>
        <w:t>се</w:t>
      </w:r>
      <w:r w:rsidRPr="00B6082F">
        <w:t>тей</w:t>
      </w:r>
      <w:r w:rsidRPr="009E08B5">
        <w:rPr>
          <w:spacing w:val="4"/>
        </w:rPr>
        <w:t xml:space="preserve"> </w:t>
      </w:r>
      <w:r w:rsidRPr="00B6082F">
        <w:t>в городском и сельском поселениях района</w:t>
      </w:r>
      <w:r>
        <w:t>, препятствующее результативному исполнению мероприятий муниципальной программы</w:t>
      </w:r>
      <w:r w:rsidRPr="00B6082F">
        <w:t>.</w:t>
      </w:r>
    </w:p>
    <w:p w14:paraId="7705D925" w14:textId="77777777" w:rsidR="0071424E" w:rsidRDefault="0071424E" w:rsidP="00A93D7F"/>
    <w:p w14:paraId="36685CE6" w14:textId="77777777" w:rsidR="0071424E" w:rsidRPr="00653D12" w:rsidRDefault="0071424E" w:rsidP="00A93D7F">
      <w:pPr>
        <w:rPr>
          <w:i/>
        </w:rPr>
      </w:pPr>
      <w:r w:rsidRPr="00653D12">
        <w:rPr>
          <w:i/>
        </w:rPr>
        <w:t>Система водоснабжения и водоотведения</w:t>
      </w:r>
    </w:p>
    <w:p w14:paraId="5CC0B227" w14:textId="77777777" w:rsidR="0071424E" w:rsidRPr="00B664D7" w:rsidRDefault="0071424E" w:rsidP="00A93D7F">
      <w:r w:rsidRPr="00B664D7">
        <w:t>Централизованная система водоснабжения имеется в 11 населенных пунктах Н</w:t>
      </w:r>
      <w:r>
        <w:t>ефтеюганского района (с. Лемпино и</w:t>
      </w:r>
      <w:r w:rsidRPr="00B664D7">
        <w:t xml:space="preserve"> п.</w:t>
      </w:r>
      <w:r>
        <w:t> </w:t>
      </w:r>
      <w:r w:rsidRPr="00B664D7">
        <w:t xml:space="preserve">Куть-Ях частично оборудованы водозаборными колонками). В настоящее время обеспеченность населения услугой централизованного водоснабжения в целом по </w:t>
      </w:r>
      <w:r>
        <w:t>Нефтеюганскому</w:t>
      </w:r>
      <w:r w:rsidRPr="00B664D7">
        <w:t xml:space="preserve"> муниципальному район</w:t>
      </w:r>
      <w:r>
        <w:t>у</w:t>
      </w:r>
      <w:r w:rsidRPr="00B664D7">
        <w:t xml:space="preserve"> составляет 97,76%, </w:t>
      </w:r>
      <w:r>
        <w:t>охват населения</w:t>
      </w:r>
      <w:r w:rsidRPr="00B664D7">
        <w:t xml:space="preserve"> системой централизованного водоотведения</w:t>
      </w:r>
      <w:r>
        <w:t xml:space="preserve"> – 94,86</w:t>
      </w:r>
      <w:r w:rsidRPr="00B664D7">
        <w:t xml:space="preserve">%. </w:t>
      </w:r>
    </w:p>
    <w:p w14:paraId="677F70C3" w14:textId="77777777" w:rsidR="0071424E" w:rsidRDefault="0071424E" w:rsidP="00A93D7F">
      <w:r w:rsidRPr="006F64B6">
        <w:lastRenderedPageBreak/>
        <w:t>Общая протяженность водопроводных сетей 133,529 км, из них муниципальных – 118,618 км, в т.ч. ветхих</w:t>
      </w:r>
      <w:r>
        <w:t xml:space="preserve"> –</w:t>
      </w:r>
      <w:r w:rsidRPr="006F64B6">
        <w:t xml:space="preserve"> 17,091 км. Основным источником питьевого и хозяйственно-бытового водоснабжения населенных пунктов муниципального образования Нефтеюганский район являются подземные воды (100%). В районе 63 насосных станций (артезианских скважин), из них 51 находится в муниципальной собственности. </w:t>
      </w:r>
    </w:p>
    <w:p w14:paraId="1F15C694" w14:textId="77777777" w:rsidR="0071424E" w:rsidRPr="00C3444C" w:rsidRDefault="0071424E" w:rsidP="00A93D7F">
      <w:r w:rsidRPr="00D17032">
        <w:t xml:space="preserve">В 2016 году продолжалась планомерная реализация мероприятий </w:t>
      </w:r>
      <w:r>
        <w:t xml:space="preserve">по замене ветхих сетей </w:t>
      </w:r>
      <w:r w:rsidRPr="00D17032">
        <w:t>водоснабжения</w:t>
      </w:r>
      <w:r>
        <w:t xml:space="preserve"> и водоотведения. В соответствии с запланированными мероприятиями муниципальной программы </w:t>
      </w:r>
      <w:r w:rsidRPr="00BD0435">
        <w:rPr>
          <w:color w:val="000000" w:themeColor="text1"/>
        </w:rPr>
        <w:t>«Развитие жилищно-коммунального комплекса и повышение энергетической эффективности в муниципальном образовании Нефтеюганский район на 2017-2020 годы»</w:t>
      </w:r>
      <w:r>
        <w:rPr>
          <w:color w:val="000000" w:themeColor="text1"/>
        </w:rPr>
        <w:t xml:space="preserve"> </w:t>
      </w:r>
      <w:r>
        <w:t xml:space="preserve">была выполнена замена 4,47 км </w:t>
      </w:r>
      <w:r w:rsidRPr="00D17032">
        <w:t>водопроводных сетей</w:t>
      </w:r>
      <w:r>
        <w:t xml:space="preserve"> (4,0</w:t>
      </w:r>
      <w:r w:rsidRPr="00D17032">
        <w:t>% от общей протяженности муниципальных водопроводных сетей</w:t>
      </w:r>
      <w:r>
        <w:t>)</w:t>
      </w:r>
      <w:r w:rsidRPr="00D17032">
        <w:t xml:space="preserve"> и </w:t>
      </w:r>
      <w:r>
        <w:t>0,2 км сетей водоотведения (</w:t>
      </w:r>
      <w:r w:rsidRPr="00D17032">
        <w:t>0,25% от общей протяженности сетей водоотведения</w:t>
      </w:r>
      <w:r>
        <w:t>)</w:t>
      </w:r>
      <w:r w:rsidRPr="00D17032">
        <w:t>.</w:t>
      </w:r>
      <w:r>
        <w:t xml:space="preserve"> В то же время в отдельных населенных пунктов износы сетей водоснабжения превышают 90%.</w:t>
      </w:r>
    </w:p>
    <w:p w14:paraId="216FD829" w14:textId="77777777" w:rsidR="0071424E" w:rsidRDefault="0071424E" w:rsidP="00A93D7F">
      <w:r w:rsidRPr="00B664D7">
        <w:t>Основной проблемой водопроводных сетей является загрязнение питьевой воды прод</w:t>
      </w:r>
      <w:r>
        <w:t xml:space="preserve">уктами коррозии трубопроводов. </w:t>
      </w:r>
      <w:r w:rsidRPr="00B664D7">
        <w:t xml:space="preserve">Водопроводные очистные сооружения установлены </w:t>
      </w:r>
      <w:r>
        <w:t>гп</w:t>
      </w:r>
      <w:r w:rsidRPr="00B664D7">
        <w:t>.</w:t>
      </w:r>
      <w:r>
        <w:t> </w:t>
      </w:r>
      <w:r w:rsidRPr="00B664D7">
        <w:t xml:space="preserve">Пойковский и </w:t>
      </w:r>
      <w:r>
        <w:t>с</w:t>
      </w:r>
      <w:r w:rsidRPr="00B664D7">
        <w:t>п.</w:t>
      </w:r>
      <w:r>
        <w:t> </w:t>
      </w:r>
      <w:r w:rsidRPr="00B664D7">
        <w:t>Салым,</w:t>
      </w:r>
      <w:r>
        <w:t xml:space="preserve"> </w:t>
      </w:r>
      <w:r w:rsidRPr="00B664D7">
        <w:t>с</w:t>
      </w:r>
      <w:r>
        <w:t>п</w:t>
      </w:r>
      <w:r w:rsidRPr="00B664D7">
        <w:t>.</w:t>
      </w:r>
      <w:r>
        <w:t> </w:t>
      </w:r>
      <w:r w:rsidRPr="00B664D7">
        <w:t>Усть-Юган, с</w:t>
      </w:r>
      <w:r>
        <w:t>п</w:t>
      </w:r>
      <w:r w:rsidRPr="00B664D7">
        <w:t>.</w:t>
      </w:r>
      <w:r>
        <w:t> Салым и сп</w:t>
      </w:r>
      <w:r w:rsidRPr="00B664D7">
        <w:t>.</w:t>
      </w:r>
      <w:r>
        <w:t> Куть-Ях.</w:t>
      </w:r>
      <w:r w:rsidRPr="00B664D7">
        <w:t xml:space="preserve"> Проектная мощность вод</w:t>
      </w:r>
      <w:r>
        <w:t xml:space="preserve">опроводных очистных сооружений </w:t>
      </w:r>
      <w:r w:rsidRPr="00B664D7">
        <w:t>по муниципальному образованию Нефтеюганский район – 9,6 тыс. куб. м/сут. В сп.</w:t>
      </w:r>
      <w:r>
        <w:t xml:space="preserve"> Сентябрьский и</w:t>
      </w:r>
      <w:r w:rsidRPr="00B664D7">
        <w:t xml:space="preserve"> </w:t>
      </w:r>
      <w:r>
        <w:t>с</w:t>
      </w:r>
      <w:r w:rsidRPr="00B664D7">
        <w:t>п.</w:t>
      </w:r>
      <w:r>
        <w:t> </w:t>
      </w:r>
      <w:r w:rsidRPr="00B664D7">
        <w:t xml:space="preserve">Лемпино установлены станции локальной водоочистки, </w:t>
      </w:r>
      <w:r>
        <w:t xml:space="preserve">в </w:t>
      </w:r>
      <w:r w:rsidRPr="00B664D7">
        <w:t>остальных населенных пунктах полностью отсу</w:t>
      </w:r>
      <w:r>
        <w:t>тствуют станции водоподготовки.</w:t>
      </w:r>
    </w:p>
    <w:p w14:paraId="5AC45FCE" w14:textId="77777777" w:rsidR="0071424E" w:rsidRDefault="0071424E" w:rsidP="00A93D7F">
      <w:pPr>
        <w:rPr>
          <w:color w:val="000000" w:themeColor="text1"/>
        </w:rPr>
      </w:pPr>
      <w:r w:rsidRPr="00B664D7">
        <w:t>Эффективность водоподготовки, основанной, как правило, на традиционных технологиях, недостаточно высока и не обесп</w:t>
      </w:r>
      <w:r>
        <w:t xml:space="preserve">ечивает нормативные содержания, </w:t>
      </w:r>
      <w:r w:rsidRPr="00B664D7">
        <w:t xml:space="preserve">в первую очередь железа, в очищенной питьевой воде. Системы обеззараживания воды также работают недостаточно эффективно. </w:t>
      </w:r>
      <w:r w:rsidRPr="006F64B6">
        <w:rPr>
          <w:color w:val="000000" w:themeColor="text1"/>
        </w:rPr>
        <w:t>Качество сырой воды подземных источников не соответствует нормативным требованиям СанПиН 2.1.4.1074-01 «Питьевая вода», предъявляемым к питьевой воде по содержанию железа, запаха, цветности; в отдельных скважинах – по мутности, фтору, окисляемости, сероводороду, азоту аммония, меди.</w:t>
      </w:r>
    </w:p>
    <w:p w14:paraId="3A9C438B" w14:textId="77777777" w:rsidR="0071424E" w:rsidRDefault="0071424E" w:rsidP="00A93D7F">
      <w:r w:rsidRPr="0007284B">
        <w:t>Самостоятельным риском для системы водоснабжения района является снижение производительности артезианских скважин по причине выработки ресурса, по состоянию на 2016 г. требуется проведение капитального ремонта 9 скважин.</w:t>
      </w:r>
    </w:p>
    <w:p w14:paraId="17D7FFF1" w14:textId="77777777" w:rsidR="0071424E" w:rsidRDefault="0071424E" w:rsidP="00A93D7F">
      <w:r>
        <w:t xml:space="preserve">Высокие износы </w:t>
      </w:r>
      <w:r w:rsidRPr="00B664D7">
        <w:t xml:space="preserve">водопроводных сетей </w:t>
      </w:r>
      <w:r>
        <w:t xml:space="preserve">и необходимость замены ветхих сетей на территории района усилиями теплоснабжающих организаций оказывает негативное влияние на рост тарифов на услуги водоснабжения на территории района. По состоянию на </w:t>
      </w:r>
      <w:r>
        <w:rPr>
          <w:lang w:val="en-US"/>
        </w:rPr>
        <w:t>I</w:t>
      </w:r>
      <w:r w:rsidRPr="005D4DCE">
        <w:t xml:space="preserve"> кв. 2017 </w:t>
      </w:r>
      <w:r>
        <w:t>г. тариф на услуги в сфере горячего водоснабжения в гп. Пойковский составил 219,6 руб./куб.м, холодного водоснабжения – 59,07 руб./куб.м. За период 2011-2016 гг. рост тарифа на горячую воду составил 142,6% (среднегодовой темп прироста тарифа составил 7,3%), тарифа на холодную воду – 135,6% (среднегодовой темп прироста тарифа составил 6,3%). Рост тарифов на услуги водоснабжения обоснован объективной стоимостью обслуживания инженерных сетей, однако в перспективе влечет за собой риск повышения задолженности населения за коммунальные услуги.</w:t>
      </w:r>
    </w:p>
    <w:p w14:paraId="45B2825D" w14:textId="77777777" w:rsidR="00867052" w:rsidRDefault="00867052" w:rsidP="00A93D7F"/>
    <w:p w14:paraId="524681F6" w14:textId="171CD935" w:rsidR="007A7629" w:rsidRDefault="00774DF3" w:rsidP="00774DF3">
      <w:r>
        <w:rPr>
          <w:noProof/>
        </w:rPr>
        <w:lastRenderedPageBreak/>
        <w:drawing>
          <wp:inline distT="0" distB="0" distL="0" distR="0" wp14:anchorId="48652467" wp14:editId="384EE4F6">
            <wp:extent cx="5423535" cy="2244220"/>
            <wp:effectExtent l="0" t="0" r="1206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FBF7AF" w14:textId="77777777" w:rsidR="0071424E" w:rsidRDefault="0071424E" w:rsidP="00A93D7F">
      <w:pPr>
        <w:pStyle w:val="ac"/>
      </w:pPr>
      <w:r w:rsidRPr="00BD739E">
        <w:t xml:space="preserve">Рисунок </w:t>
      </w:r>
      <w:fldSimple w:instr=" SEQ Рисунок \* ARABIC ">
        <w:r w:rsidR="00ED1BAA">
          <w:rPr>
            <w:noProof/>
          </w:rPr>
          <w:t>18</w:t>
        </w:r>
      </w:fldSimple>
      <w:r w:rsidRPr="00BD739E">
        <w:t xml:space="preserve"> Динамика тарифа на услуги в сфере горячего водоснабжения с учетом надбавки и НДС в гп. Пойковский, руб./куб.м.</w:t>
      </w:r>
    </w:p>
    <w:p w14:paraId="134A5AD1" w14:textId="77777777" w:rsidR="007A7629" w:rsidRDefault="007A7629" w:rsidP="00A93D7F"/>
    <w:p w14:paraId="268AC21E" w14:textId="143B8B43" w:rsidR="007A7629" w:rsidRPr="007A7629" w:rsidRDefault="00104811" w:rsidP="00A93D7F">
      <w:r>
        <w:rPr>
          <w:noProof/>
        </w:rPr>
        <w:drawing>
          <wp:inline distT="0" distB="0" distL="0" distR="0" wp14:anchorId="4B5A4761" wp14:editId="25258885">
            <wp:extent cx="5271135" cy="2201949"/>
            <wp:effectExtent l="0" t="0" r="12065"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59B158" w14:textId="77777777" w:rsidR="0071424E" w:rsidRPr="00BD739E" w:rsidRDefault="0071424E" w:rsidP="00A93D7F">
      <w:pPr>
        <w:pStyle w:val="ac"/>
        <w:rPr>
          <w:noProof/>
        </w:rPr>
      </w:pPr>
      <w:r w:rsidRPr="00BD739E">
        <w:t xml:space="preserve">Рисунок </w:t>
      </w:r>
      <w:fldSimple w:instr=" SEQ Рисунок \* ARABIC ">
        <w:r w:rsidR="00ED1BAA">
          <w:rPr>
            <w:noProof/>
          </w:rPr>
          <w:t>19</w:t>
        </w:r>
      </w:fldSimple>
      <w:r w:rsidRPr="00BD739E">
        <w:t xml:space="preserve"> Динамика одноставочного тарифа на холодную воду (питьевую) с учетом стадий подъем, очистка и транспортировка в гп. Пойковский, руб./куб.м</w:t>
      </w:r>
    </w:p>
    <w:p w14:paraId="2DF53C5C" w14:textId="77777777" w:rsidR="0071424E" w:rsidRDefault="0071424E" w:rsidP="00A93D7F"/>
    <w:p w14:paraId="34196286" w14:textId="77777777" w:rsidR="0071424E" w:rsidRPr="00B664D7" w:rsidRDefault="0071424E" w:rsidP="00A93D7F">
      <w:r>
        <w:t>Ц</w:t>
      </w:r>
      <w:r w:rsidRPr="00B664D7">
        <w:t>ентрализованной системой водоотведения оснащены 7 населенных пунктов</w:t>
      </w:r>
      <w:r>
        <w:t xml:space="preserve"> Нефтеюганского района,</w:t>
      </w:r>
      <w:r w:rsidRPr="00B664D7">
        <w:t xml:space="preserve"> в 4 населенных пунктах (п.</w:t>
      </w:r>
      <w:r>
        <w:t> </w:t>
      </w:r>
      <w:r w:rsidRPr="00B664D7">
        <w:t>Куть-Ях, п.</w:t>
      </w:r>
      <w:r>
        <w:t> </w:t>
      </w:r>
      <w:r w:rsidRPr="00B664D7">
        <w:t>Усть-Юган, п.</w:t>
      </w:r>
      <w:r>
        <w:t> </w:t>
      </w:r>
      <w:r w:rsidRPr="00B664D7">
        <w:t>Юганская Обь и с.</w:t>
      </w:r>
      <w:r>
        <w:t> </w:t>
      </w:r>
      <w:r w:rsidRPr="00B664D7">
        <w:t xml:space="preserve">Лемпино) сточные воды утилизируются при помощи «септиков» (выгребных ям). Все населенные пункты, обеспеченные централизованной системой водоотведения, оснащены канализационными насосными станциями </w:t>
      </w:r>
      <w:r>
        <w:t>(24 шт.) и очистными сооружениями (9 шт.)</w:t>
      </w:r>
      <w:r w:rsidRPr="00B664D7">
        <w:t>. Установленная производственная мощность насосных станций и очистных сооружений равна 40,5 и 10,7 тыс. куб. метров в сутки соответственно.</w:t>
      </w:r>
    </w:p>
    <w:p w14:paraId="4CE584FF" w14:textId="30A72CDE" w:rsidR="0071424E" w:rsidRDefault="0071424E" w:rsidP="00A93D7F">
      <w:r w:rsidRPr="00B664D7">
        <w:t xml:space="preserve">Протяженность сетей водоотведения 91,242 км, из них – 86,865 км муниципальных, в т.ч. ветхих </w:t>
      </w:r>
      <w:r>
        <w:t xml:space="preserve">– </w:t>
      </w:r>
      <w:r w:rsidRPr="00B664D7">
        <w:t>5,68 км.</w:t>
      </w:r>
      <w:r>
        <w:t xml:space="preserve"> </w:t>
      </w:r>
      <w:r w:rsidRPr="00B664D7">
        <w:t>В Нефтеюганском районе принимаются меры по замене ветхих сете</w:t>
      </w:r>
      <w:r>
        <w:t>й водоснабжения и водоотведения:</w:t>
      </w:r>
      <w:r w:rsidRPr="00B664D7">
        <w:t xml:space="preserve"> в 2016 году было отремонтировано </w:t>
      </w:r>
      <w:r w:rsidRPr="00B664D7">
        <w:rPr>
          <w:color w:val="000000"/>
          <w:shd w:val="clear" w:color="auto" w:fill="FFFFFF"/>
        </w:rPr>
        <w:t xml:space="preserve">3,5265 км </w:t>
      </w:r>
      <w:r w:rsidRPr="00B664D7">
        <w:t>сетей водоснабжения.</w:t>
      </w:r>
    </w:p>
    <w:p w14:paraId="1C2C0E12" w14:textId="77777777" w:rsidR="0071424E" w:rsidRDefault="0071424E" w:rsidP="00A93D7F">
      <w:r w:rsidRPr="00B664D7">
        <w:t xml:space="preserve">Объем сточных вод, собираемых в системы водоотведения, в целом </w:t>
      </w:r>
      <w:r w:rsidRPr="00B664D7">
        <w:br/>
        <w:t xml:space="preserve">по муниципальному образованию Нефтеюганский район составляет около </w:t>
      </w:r>
      <w:r w:rsidRPr="00B664D7">
        <w:br/>
        <w:t>1419,25 тыс. куб. м/год. Объем сточных вод, пропущен</w:t>
      </w:r>
      <w:r>
        <w:t xml:space="preserve">ный через очистные сооружения, </w:t>
      </w:r>
      <w:r w:rsidRPr="00B664D7">
        <w:t>составляет около 1</w:t>
      </w:r>
      <w:r>
        <w:t>312,69 тыс. куб. м/год, т.е. 92% от общего объема сточных вод.</w:t>
      </w:r>
    </w:p>
    <w:p w14:paraId="61247D70" w14:textId="77777777" w:rsidR="0071424E" w:rsidRPr="00F042DD" w:rsidRDefault="0071424E" w:rsidP="00A93D7F">
      <w:r w:rsidRPr="00F042DD">
        <w:rPr>
          <w:rStyle w:val="style161"/>
          <w:color w:val="000000" w:themeColor="text1"/>
        </w:rPr>
        <w:t xml:space="preserve">В 2015 году в Нефтеюганском районе началась работа по передаче </w:t>
      </w:r>
      <w:r w:rsidRPr="00F042DD">
        <w:t xml:space="preserve">объектов инженерной инфраструктуры, находящейся в муниципальной собственности сельских поселений, </w:t>
      </w:r>
      <w:r w:rsidRPr="00F042DD">
        <w:rPr>
          <w:rStyle w:val="style161"/>
          <w:color w:val="000000" w:themeColor="text1"/>
        </w:rPr>
        <w:t xml:space="preserve">по концессионным соглашениям, были </w:t>
      </w:r>
      <w:r w:rsidRPr="00F042DD">
        <w:t xml:space="preserve">разработаны и утверждены нормативные правовые акты в части реализации концессионных соглашений, утвержден </w:t>
      </w:r>
      <w:r w:rsidRPr="00F042DD">
        <w:lastRenderedPageBreak/>
        <w:t xml:space="preserve">перечень объектов инженерной инфраструктуры, в отношении которых планируется заключение концессионного соглашения. По состоянию на 2017 г. в Нефтеюганском районе заключены 4 концессионных соглашения на реконструкцию и модернизацию объектов тепло-, водоснабжения и водоотведения, находящихся в собственности сельских поселений Сентябрьский, Каркатеевы, Куть-Ях и Салым. </w:t>
      </w:r>
    </w:p>
    <w:p w14:paraId="4FED14AB" w14:textId="77777777" w:rsidR="0071424E" w:rsidRDefault="0071424E" w:rsidP="00A93D7F">
      <w:r w:rsidRPr="00F042DD">
        <w:t>В соответствии с проведенной государственной регистрацией договора дарения (пожертвования) имущества, находящегося в собственности ОАО «Российские железные дороги», муниципальному образованию Нефтеюганский район от 30.10.2015 г., в 2016 г. в муниципальную собственность были приняты объекты водоснабжения и водоотведения, расположенные в границах сельских поселений Усть-Юган, Салым и Куть-Ях. В настоящее время администрацией Нефтеюганского района проводятся мероприятия по подготовке конкурсной документации на право заключения концессионных соглашений в отношении вышеуказанных объектов.</w:t>
      </w:r>
    </w:p>
    <w:p w14:paraId="08887A3E" w14:textId="77777777" w:rsidR="007914ED" w:rsidRDefault="007914ED" w:rsidP="00A93D7F">
      <w:pPr>
        <w:pStyle w:val="ac"/>
      </w:pPr>
    </w:p>
    <w:p w14:paraId="62BCBB87" w14:textId="77777777" w:rsidR="0071424E" w:rsidRDefault="0071424E" w:rsidP="00A93D7F">
      <w:pPr>
        <w:pStyle w:val="ac"/>
      </w:pPr>
      <w:r>
        <w:t xml:space="preserve">Таблица </w:t>
      </w:r>
      <w:fldSimple w:instr=" SEQ Таблица \* ARABIC ">
        <w:r w:rsidR="00ED1BAA">
          <w:rPr>
            <w:noProof/>
          </w:rPr>
          <w:t>9</w:t>
        </w:r>
      </w:fldSimple>
    </w:p>
    <w:p w14:paraId="7D7325F9" w14:textId="77777777" w:rsidR="0071424E" w:rsidRPr="00653D12" w:rsidRDefault="0071424E" w:rsidP="00A93D7F">
      <w:pPr>
        <w:rPr>
          <w:b/>
        </w:rPr>
      </w:pPr>
      <w:r w:rsidRPr="00653D12">
        <w:rPr>
          <w:b/>
        </w:rPr>
        <w:t>Характеристика показателей состояния инженерной инфраструктуры Нефтеюганского муниципального района</w:t>
      </w:r>
    </w:p>
    <w:tbl>
      <w:tblPr>
        <w:tblStyle w:val="ab"/>
        <w:tblW w:w="0" w:type="auto"/>
        <w:tblInd w:w="108" w:type="dxa"/>
        <w:tblLook w:val="04A0" w:firstRow="1" w:lastRow="0" w:firstColumn="1" w:lastColumn="0" w:noHBand="0" w:noVBand="1"/>
      </w:tblPr>
      <w:tblGrid>
        <w:gridCol w:w="6117"/>
        <w:gridCol w:w="1593"/>
        <w:gridCol w:w="1521"/>
      </w:tblGrid>
      <w:tr w:rsidR="0056576F" w:rsidRPr="00FD7F34" w14:paraId="2E59BFDE" w14:textId="77777777" w:rsidTr="0056576F">
        <w:trPr>
          <w:trHeight w:val="423"/>
        </w:trPr>
        <w:tc>
          <w:tcPr>
            <w:tcW w:w="6117" w:type="dxa"/>
            <w:vAlign w:val="center"/>
          </w:tcPr>
          <w:p w14:paraId="4584ABEE" w14:textId="7775D97A" w:rsidR="0056576F" w:rsidRPr="00FD7F34" w:rsidRDefault="0056576F" w:rsidP="00653D12">
            <w:pPr>
              <w:pStyle w:val="af7"/>
            </w:pPr>
            <w:r w:rsidRPr="00FD7F34">
              <w:t>Наименование показателя</w:t>
            </w:r>
          </w:p>
        </w:tc>
        <w:tc>
          <w:tcPr>
            <w:tcW w:w="1593" w:type="dxa"/>
            <w:vAlign w:val="center"/>
          </w:tcPr>
          <w:p w14:paraId="16F3C159" w14:textId="7D7C7103" w:rsidR="0056576F" w:rsidRPr="00FD7F34" w:rsidRDefault="0056576F" w:rsidP="00653D12">
            <w:pPr>
              <w:pStyle w:val="af7"/>
              <w:jc w:val="center"/>
            </w:pPr>
            <w:r w:rsidRPr="00FD7F34">
              <w:t>Ед. изм.</w:t>
            </w:r>
          </w:p>
        </w:tc>
        <w:tc>
          <w:tcPr>
            <w:tcW w:w="1521" w:type="dxa"/>
            <w:vAlign w:val="center"/>
          </w:tcPr>
          <w:p w14:paraId="4C604B25" w14:textId="58037030" w:rsidR="0056576F" w:rsidRPr="00FD7F34" w:rsidRDefault="0056576F" w:rsidP="00653D12">
            <w:pPr>
              <w:pStyle w:val="af7"/>
              <w:jc w:val="center"/>
            </w:pPr>
            <w:r w:rsidRPr="00FD7F34">
              <w:t>2016</w:t>
            </w:r>
          </w:p>
        </w:tc>
      </w:tr>
      <w:tr w:rsidR="0056576F" w:rsidRPr="00FD7F34" w14:paraId="1E525FFF" w14:textId="77777777" w:rsidTr="0056576F">
        <w:trPr>
          <w:trHeight w:val="338"/>
        </w:trPr>
        <w:tc>
          <w:tcPr>
            <w:tcW w:w="6117" w:type="dxa"/>
            <w:vAlign w:val="center"/>
          </w:tcPr>
          <w:p w14:paraId="442266F7" w14:textId="2D2AA7E9" w:rsidR="0056576F" w:rsidRPr="00FD7F34" w:rsidRDefault="0056576F" w:rsidP="00653D12">
            <w:pPr>
              <w:pStyle w:val="af7"/>
            </w:pPr>
            <w:r w:rsidRPr="00FD7F34">
              <w:t>Одиночное протяжение уличной газовой сети</w:t>
            </w:r>
          </w:p>
        </w:tc>
        <w:tc>
          <w:tcPr>
            <w:tcW w:w="1593" w:type="dxa"/>
            <w:vAlign w:val="center"/>
          </w:tcPr>
          <w:p w14:paraId="4DB683C3" w14:textId="4C2C1FDE" w:rsidR="0056576F" w:rsidRPr="00FD7F34" w:rsidRDefault="0056576F" w:rsidP="00653D12">
            <w:pPr>
              <w:pStyle w:val="af7"/>
              <w:jc w:val="center"/>
            </w:pPr>
            <w:r w:rsidRPr="00FD7F34">
              <w:t>км</w:t>
            </w:r>
          </w:p>
        </w:tc>
        <w:tc>
          <w:tcPr>
            <w:tcW w:w="1521" w:type="dxa"/>
            <w:vAlign w:val="center"/>
          </w:tcPr>
          <w:p w14:paraId="5E6A13B9" w14:textId="204D39FE" w:rsidR="0056576F" w:rsidRPr="00FD7F34" w:rsidRDefault="0056576F" w:rsidP="00653D12">
            <w:pPr>
              <w:pStyle w:val="af7"/>
              <w:jc w:val="center"/>
            </w:pPr>
            <w:r w:rsidRPr="00FD7F34">
              <w:t>20,8</w:t>
            </w:r>
          </w:p>
        </w:tc>
      </w:tr>
      <w:tr w:rsidR="0056576F" w:rsidRPr="00FD7F34" w14:paraId="581CC692" w14:textId="77777777" w:rsidTr="0056576F">
        <w:trPr>
          <w:trHeight w:val="140"/>
        </w:trPr>
        <w:tc>
          <w:tcPr>
            <w:tcW w:w="6117" w:type="dxa"/>
            <w:vAlign w:val="center"/>
          </w:tcPr>
          <w:p w14:paraId="593986BD" w14:textId="1B89C52E" w:rsidR="0056576F" w:rsidRPr="00FD7F34" w:rsidRDefault="0056576F" w:rsidP="00653D12">
            <w:pPr>
              <w:pStyle w:val="af7"/>
            </w:pPr>
            <w:r w:rsidRPr="00FD7F34">
              <w:t>в том числе нуждающейся в замене и ремонте</w:t>
            </w:r>
          </w:p>
        </w:tc>
        <w:tc>
          <w:tcPr>
            <w:tcW w:w="1593" w:type="dxa"/>
            <w:vAlign w:val="center"/>
          </w:tcPr>
          <w:p w14:paraId="3AEDE98D" w14:textId="26AE897A" w:rsidR="0056576F" w:rsidRPr="00FD7F34" w:rsidRDefault="0056576F" w:rsidP="00653D12">
            <w:pPr>
              <w:pStyle w:val="af7"/>
              <w:jc w:val="center"/>
            </w:pPr>
            <w:r w:rsidRPr="00FD7F34">
              <w:t>% от общей протяженности</w:t>
            </w:r>
          </w:p>
        </w:tc>
        <w:tc>
          <w:tcPr>
            <w:tcW w:w="1521" w:type="dxa"/>
            <w:vAlign w:val="center"/>
          </w:tcPr>
          <w:p w14:paraId="152E1841" w14:textId="1FF2FC7B" w:rsidR="0056576F" w:rsidRPr="00FD7F34" w:rsidRDefault="00B85D2F" w:rsidP="00653D12">
            <w:pPr>
              <w:pStyle w:val="af7"/>
              <w:jc w:val="center"/>
            </w:pPr>
            <w:r w:rsidRPr="00FD7F34">
              <w:t>-</w:t>
            </w:r>
          </w:p>
        </w:tc>
      </w:tr>
      <w:tr w:rsidR="0056576F" w:rsidRPr="00FD7F34" w14:paraId="3A93FE6D" w14:textId="77777777" w:rsidTr="0056576F">
        <w:trPr>
          <w:trHeight w:val="310"/>
        </w:trPr>
        <w:tc>
          <w:tcPr>
            <w:tcW w:w="6117" w:type="dxa"/>
            <w:vAlign w:val="center"/>
          </w:tcPr>
          <w:p w14:paraId="62FAA6DA" w14:textId="77777777" w:rsidR="0056576F" w:rsidRPr="00FD7F34" w:rsidRDefault="0056576F" w:rsidP="00653D12">
            <w:pPr>
              <w:pStyle w:val="af7"/>
            </w:pPr>
            <w:r w:rsidRPr="00FD7F34">
              <w:t>Количество негазифицированных населенных пунктов</w:t>
            </w:r>
          </w:p>
        </w:tc>
        <w:tc>
          <w:tcPr>
            <w:tcW w:w="1593" w:type="dxa"/>
            <w:vAlign w:val="center"/>
          </w:tcPr>
          <w:p w14:paraId="433DCEB1" w14:textId="70471BBD" w:rsidR="0056576F" w:rsidRPr="00FD7F34" w:rsidRDefault="0056576F" w:rsidP="00653D12">
            <w:pPr>
              <w:pStyle w:val="af7"/>
              <w:jc w:val="center"/>
            </w:pPr>
            <w:r w:rsidRPr="00FD7F34">
              <w:t>ед.</w:t>
            </w:r>
          </w:p>
        </w:tc>
        <w:tc>
          <w:tcPr>
            <w:tcW w:w="1521" w:type="dxa"/>
            <w:vAlign w:val="center"/>
          </w:tcPr>
          <w:p w14:paraId="5EC3177C" w14:textId="5425A528" w:rsidR="0056576F" w:rsidRPr="00FD7F34" w:rsidRDefault="0056576F" w:rsidP="00653D12">
            <w:pPr>
              <w:pStyle w:val="af7"/>
              <w:jc w:val="center"/>
            </w:pPr>
            <w:r w:rsidRPr="00FD7F34">
              <w:t>9</w:t>
            </w:r>
          </w:p>
        </w:tc>
      </w:tr>
      <w:tr w:rsidR="0056576F" w:rsidRPr="00FD7F34" w14:paraId="1204D1B5" w14:textId="77777777" w:rsidTr="0056576F">
        <w:trPr>
          <w:trHeight w:val="140"/>
        </w:trPr>
        <w:tc>
          <w:tcPr>
            <w:tcW w:w="6117" w:type="dxa"/>
            <w:vAlign w:val="center"/>
          </w:tcPr>
          <w:p w14:paraId="5A947AD5" w14:textId="127BD6FD" w:rsidR="0056576F" w:rsidRPr="00FD7F34" w:rsidRDefault="0056576F" w:rsidP="00653D12">
            <w:pPr>
              <w:pStyle w:val="af7"/>
            </w:pPr>
            <w:r w:rsidRPr="00FD7F34">
              <w:t>Протяженность тепловых и паровых сетей в двухтрубном исчислении, находящихся в муниципальной собственности</w:t>
            </w:r>
          </w:p>
        </w:tc>
        <w:tc>
          <w:tcPr>
            <w:tcW w:w="1593" w:type="dxa"/>
            <w:vAlign w:val="center"/>
          </w:tcPr>
          <w:p w14:paraId="6D6B29B3" w14:textId="218E6F0D" w:rsidR="0056576F" w:rsidRPr="00FD7F34" w:rsidRDefault="0056576F" w:rsidP="00653D12">
            <w:pPr>
              <w:pStyle w:val="af7"/>
              <w:jc w:val="center"/>
            </w:pPr>
            <w:r w:rsidRPr="00FD7F34">
              <w:t>км</w:t>
            </w:r>
          </w:p>
        </w:tc>
        <w:tc>
          <w:tcPr>
            <w:tcW w:w="1521" w:type="dxa"/>
            <w:vAlign w:val="center"/>
          </w:tcPr>
          <w:p w14:paraId="617639F0" w14:textId="352F2A01" w:rsidR="0056576F" w:rsidRPr="00FD7F34" w:rsidRDefault="0056576F" w:rsidP="00653D12">
            <w:pPr>
              <w:pStyle w:val="af7"/>
              <w:jc w:val="center"/>
            </w:pPr>
            <w:r w:rsidRPr="00FD7F34">
              <w:t>125,70</w:t>
            </w:r>
          </w:p>
        </w:tc>
      </w:tr>
      <w:tr w:rsidR="0056576F" w:rsidRPr="00FD7F34" w14:paraId="33F7AE98" w14:textId="77777777" w:rsidTr="0056576F">
        <w:trPr>
          <w:trHeight w:val="140"/>
        </w:trPr>
        <w:tc>
          <w:tcPr>
            <w:tcW w:w="6117" w:type="dxa"/>
            <w:vAlign w:val="center"/>
          </w:tcPr>
          <w:p w14:paraId="5DEDBEF4" w14:textId="4F02172C" w:rsidR="0056576F" w:rsidRPr="00FD7F34" w:rsidRDefault="0056576F" w:rsidP="00653D12">
            <w:pPr>
              <w:pStyle w:val="af7"/>
            </w:pPr>
            <w:r w:rsidRPr="00FD7F34">
              <w:t>в том числе нуждающихся в замене</w:t>
            </w:r>
          </w:p>
        </w:tc>
        <w:tc>
          <w:tcPr>
            <w:tcW w:w="1593" w:type="dxa"/>
            <w:vAlign w:val="center"/>
          </w:tcPr>
          <w:p w14:paraId="7BC6A987" w14:textId="3E566534" w:rsidR="0056576F" w:rsidRPr="00FD7F34" w:rsidRDefault="0056576F" w:rsidP="00653D12">
            <w:pPr>
              <w:pStyle w:val="af7"/>
              <w:jc w:val="center"/>
            </w:pPr>
            <w:r w:rsidRPr="00FD7F34">
              <w:t>% от общей протяженности</w:t>
            </w:r>
          </w:p>
        </w:tc>
        <w:tc>
          <w:tcPr>
            <w:tcW w:w="1521" w:type="dxa"/>
            <w:vAlign w:val="center"/>
          </w:tcPr>
          <w:p w14:paraId="5CC4020E" w14:textId="432BA0DA" w:rsidR="0056576F" w:rsidRPr="00FD7F34" w:rsidRDefault="0056576F" w:rsidP="00653D12">
            <w:pPr>
              <w:pStyle w:val="af7"/>
              <w:jc w:val="center"/>
            </w:pPr>
            <w:r w:rsidRPr="00FD7F34">
              <w:t>12,97%</w:t>
            </w:r>
          </w:p>
        </w:tc>
      </w:tr>
      <w:tr w:rsidR="0056576F" w:rsidRPr="00FD7F34" w14:paraId="6588A567" w14:textId="77777777" w:rsidTr="0056576F">
        <w:trPr>
          <w:trHeight w:val="140"/>
        </w:trPr>
        <w:tc>
          <w:tcPr>
            <w:tcW w:w="6117" w:type="dxa"/>
            <w:vAlign w:val="center"/>
          </w:tcPr>
          <w:p w14:paraId="3FF1CE37" w14:textId="5E2D41B7" w:rsidR="0056576F" w:rsidRPr="00FD7F34" w:rsidRDefault="0056576F" w:rsidP="00653D12">
            <w:pPr>
              <w:pStyle w:val="af7"/>
            </w:pPr>
            <w:r w:rsidRPr="00FD7F34">
              <w:t>Одиночное протяжение уличной водопроводной сети, находящейся в муниципальной собственности</w:t>
            </w:r>
          </w:p>
        </w:tc>
        <w:tc>
          <w:tcPr>
            <w:tcW w:w="1593" w:type="dxa"/>
            <w:vAlign w:val="center"/>
          </w:tcPr>
          <w:p w14:paraId="53DB9787" w14:textId="1A9D8698" w:rsidR="0056576F" w:rsidRPr="00FD7F34" w:rsidRDefault="0056576F" w:rsidP="00653D12">
            <w:pPr>
              <w:pStyle w:val="af7"/>
              <w:jc w:val="center"/>
            </w:pPr>
            <w:r w:rsidRPr="00FD7F34">
              <w:t>км</w:t>
            </w:r>
          </w:p>
        </w:tc>
        <w:tc>
          <w:tcPr>
            <w:tcW w:w="1521" w:type="dxa"/>
            <w:vAlign w:val="center"/>
          </w:tcPr>
          <w:p w14:paraId="0138AB8F" w14:textId="0F62942F" w:rsidR="0056576F" w:rsidRPr="00FD7F34" w:rsidRDefault="0056576F" w:rsidP="00653D12">
            <w:pPr>
              <w:pStyle w:val="af7"/>
              <w:jc w:val="center"/>
            </w:pPr>
            <w:r w:rsidRPr="00FD7F34">
              <w:t>118,62</w:t>
            </w:r>
          </w:p>
        </w:tc>
      </w:tr>
      <w:tr w:rsidR="0056576F" w:rsidRPr="00FD7F34" w14:paraId="5ADC6518" w14:textId="77777777" w:rsidTr="0056576F">
        <w:trPr>
          <w:trHeight w:val="227"/>
        </w:trPr>
        <w:tc>
          <w:tcPr>
            <w:tcW w:w="6117" w:type="dxa"/>
            <w:vAlign w:val="center"/>
          </w:tcPr>
          <w:p w14:paraId="463E468C" w14:textId="17FCF41A" w:rsidR="0056576F" w:rsidRPr="00FD7F34" w:rsidRDefault="0056576F" w:rsidP="00653D12">
            <w:pPr>
              <w:pStyle w:val="af7"/>
            </w:pPr>
            <w:r w:rsidRPr="00FD7F34">
              <w:t>в том числе нуждающейся в замене</w:t>
            </w:r>
          </w:p>
        </w:tc>
        <w:tc>
          <w:tcPr>
            <w:tcW w:w="1593" w:type="dxa"/>
            <w:vAlign w:val="center"/>
          </w:tcPr>
          <w:p w14:paraId="01C6F7F8" w14:textId="2841374F" w:rsidR="0056576F" w:rsidRPr="00FD7F34" w:rsidRDefault="0056576F" w:rsidP="00653D12">
            <w:pPr>
              <w:pStyle w:val="af7"/>
              <w:jc w:val="center"/>
            </w:pPr>
            <w:r w:rsidRPr="00FD7F34">
              <w:t>% от общей протяженности</w:t>
            </w:r>
          </w:p>
        </w:tc>
        <w:tc>
          <w:tcPr>
            <w:tcW w:w="1521" w:type="dxa"/>
            <w:vAlign w:val="center"/>
          </w:tcPr>
          <w:p w14:paraId="540CDAC3" w14:textId="2A5108AF" w:rsidR="0056576F" w:rsidRPr="00FD7F34" w:rsidRDefault="0056576F" w:rsidP="00653D12">
            <w:pPr>
              <w:pStyle w:val="af7"/>
              <w:jc w:val="center"/>
            </w:pPr>
            <w:r w:rsidRPr="00FD7F34">
              <w:t>14,41%</w:t>
            </w:r>
          </w:p>
        </w:tc>
      </w:tr>
      <w:tr w:rsidR="0056576F" w:rsidRPr="00FD7F34" w14:paraId="4A3CF4DF" w14:textId="77777777" w:rsidTr="0056576F">
        <w:trPr>
          <w:trHeight w:val="226"/>
        </w:trPr>
        <w:tc>
          <w:tcPr>
            <w:tcW w:w="6117" w:type="dxa"/>
            <w:vAlign w:val="center"/>
          </w:tcPr>
          <w:p w14:paraId="541F38C3" w14:textId="2F3F5890" w:rsidR="0056576F" w:rsidRPr="00FD7F34" w:rsidRDefault="0056576F" w:rsidP="00653D12">
            <w:pPr>
              <w:pStyle w:val="af7"/>
            </w:pPr>
            <w:r w:rsidRPr="00FD7F34">
              <w:t>Одиночное протяжение уличной канализационной сети, находящейся в муниципальной собственности</w:t>
            </w:r>
          </w:p>
        </w:tc>
        <w:tc>
          <w:tcPr>
            <w:tcW w:w="1593" w:type="dxa"/>
            <w:vAlign w:val="center"/>
          </w:tcPr>
          <w:p w14:paraId="781C2E21" w14:textId="5FBEF81B" w:rsidR="0056576F" w:rsidRPr="00FD7F34" w:rsidRDefault="0056576F" w:rsidP="00653D12">
            <w:pPr>
              <w:pStyle w:val="af7"/>
              <w:jc w:val="center"/>
            </w:pPr>
            <w:r w:rsidRPr="00FD7F34">
              <w:t>км</w:t>
            </w:r>
          </w:p>
        </w:tc>
        <w:tc>
          <w:tcPr>
            <w:tcW w:w="1521" w:type="dxa"/>
            <w:vAlign w:val="center"/>
          </w:tcPr>
          <w:p w14:paraId="1A101A36" w14:textId="4923A921" w:rsidR="0056576F" w:rsidRPr="00FD7F34" w:rsidRDefault="0056576F" w:rsidP="00653D12">
            <w:pPr>
              <w:pStyle w:val="af7"/>
              <w:jc w:val="center"/>
            </w:pPr>
            <w:r w:rsidRPr="00FD7F34">
              <w:t>86,87</w:t>
            </w:r>
          </w:p>
        </w:tc>
      </w:tr>
      <w:tr w:rsidR="0056576F" w:rsidRPr="00FD7F34" w14:paraId="791152C7" w14:textId="77777777" w:rsidTr="0056576F">
        <w:trPr>
          <w:trHeight w:val="365"/>
        </w:trPr>
        <w:tc>
          <w:tcPr>
            <w:tcW w:w="6117" w:type="dxa"/>
            <w:vAlign w:val="center"/>
          </w:tcPr>
          <w:p w14:paraId="1F8ADB11" w14:textId="15CDECAA" w:rsidR="0056576F" w:rsidRPr="00FD7F34" w:rsidRDefault="0056576F" w:rsidP="00653D12">
            <w:pPr>
              <w:pStyle w:val="af7"/>
            </w:pPr>
            <w:r w:rsidRPr="00FD7F34">
              <w:t>в том числе нуждающейся в замене</w:t>
            </w:r>
          </w:p>
        </w:tc>
        <w:tc>
          <w:tcPr>
            <w:tcW w:w="1593" w:type="dxa"/>
            <w:vAlign w:val="center"/>
          </w:tcPr>
          <w:p w14:paraId="07BAFBA4" w14:textId="3C4100DF" w:rsidR="0056576F" w:rsidRPr="00FD7F34" w:rsidRDefault="0056576F" w:rsidP="00653D12">
            <w:pPr>
              <w:pStyle w:val="af7"/>
              <w:jc w:val="center"/>
            </w:pPr>
            <w:r w:rsidRPr="00FD7F34">
              <w:t>% от общей протяженности</w:t>
            </w:r>
          </w:p>
        </w:tc>
        <w:tc>
          <w:tcPr>
            <w:tcW w:w="1521" w:type="dxa"/>
            <w:vAlign w:val="center"/>
          </w:tcPr>
          <w:p w14:paraId="61D83627" w14:textId="6C22A258" w:rsidR="0056576F" w:rsidRPr="00FD7F34" w:rsidRDefault="0056576F" w:rsidP="00653D12">
            <w:pPr>
              <w:pStyle w:val="af7"/>
              <w:jc w:val="center"/>
            </w:pPr>
            <w:r w:rsidRPr="00FD7F34">
              <w:t>6,54%</w:t>
            </w:r>
          </w:p>
        </w:tc>
      </w:tr>
    </w:tbl>
    <w:p w14:paraId="28A1880B" w14:textId="0497C382" w:rsidR="0071424E" w:rsidRPr="00653D12" w:rsidRDefault="0071424E" w:rsidP="00A93D7F">
      <w:pPr>
        <w:rPr>
          <w:sz w:val="20"/>
          <w:szCs w:val="20"/>
        </w:rPr>
      </w:pPr>
      <w:r w:rsidRPr="00653D12">
        <w:rPr>
          <w:sz w:val="20"/>
          <w:szCs w:val="20"/>
        </w:rPr>
        <w:t xml:space="preserve">Источник: </w:t>
      </w:r>
      <w:r w:rsidR="008363D5" w:rsidRPr="00653D12">
        <w:rPr>
          <w:sz w:val="20"/>
          <w:szCs w:val="20"/>
        </w:rPr>
        <w:t>Отчет о реализации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на 2017-2020 годы», отчеты СЭР</w:t>
      </w:r>
    </w:p>
    <w:p w14:paraId="57ECC943" w14:textId="77777777" w:rsidR="0071424E" w:rsidRDefault="0071424E" w:rsidP="00A93D7F"/>
    <w:p w14:paraId="31F2032E" w14:textId="77777777" w:rsidR="0071424E" w:rsidRPr="00653D12" w:rsidRDefault="0071424E" w:rsidP="00A93D7F">
      <w:pPr>
        <w:rPr>
          <w:i/>
        </w:rPr>
      </w:pPr>
      <w:r w:rsidRPr="00653D12">
        <w:rPr>
          <w:i/>
        </w:rPr>
        <w:t>Характеристика жилищного фонда</w:t>
      </w:r>
    </w:p>
    <w:p w14:paraId="2C70CE82" w14:textId="77777777" w:rsidR="0071424E" w:rsidRPr="00CA5F8B" w:rsidRDefault="0071424E" w:rsidP="00A93D7F">
      <w:pPr>
        <w:rPr>
          <w:vertAlign w:val="superscript"/>
        </w:rPr>
      </w:pPr>
      <w:r>
        <w:t>П</w:t>
      </w:r>
      <w:r w:rsidRPr="00E77A94">
        <w:t>о состоянию на 01 января 201</w:t>
      </w:r>
      <w:r>
        <w:t>7</w:t>
      </w:r>
      <w:r w:rsidRPr="00E77A94">
        <w:t xml:space="preserve"> </w:t>
      </w:r>
      <w:r>
        <w:t>г.</w:t>
      </w:r>
      <w:r w:rsidRPr="00E77A94">
        <w:t xml:space="preserve"> </w:t>
      </w:r>
      <w:r>
        <w:t>ж</w:t>
      </w:r>
      <w:r w:rsidRPr="00E77A94">
        <w:t xml:space="preserve">илищный фонд муниципального образования Нефтеюганский район составил </w:t>
      </w:r>
      <w:r>
        <w:t>687,4</w:t>
      </w:r>
      <w:r w:rsidRPr="00E77A94">
        <w:t xml:space="preserve"> </w:t>
      </w:r>
      <w:r>
        <w:t xml:space="preserve">тыс. </w:t>
      </w:r>
      <w:r w:rsidRPr="001A3461">
        <w:t>м</w:t>
      </w:r>
      <w:r w:rsidRPr="001A3461">
        <w:rPr>
          <w:vertAlign w:val="superscript"/>
        </w:rPr>
        <w:t>2</w:t>
      </w:r>
      <w:r w:rsidRPr="00E77A94">
        <w:t xml:space="preserve"> общей площади </w:t>
      </w:r>
      <w:r>
        <w:t>(</w:t>
      </w:r>
      <w:r w:rsidRPr="00E77A94">
        <w:t>92</w:t>
      </w:r>
      <w:r>
        <w:t>6</w:t>
      </w:r>
      <w:r w:rsidRPr="00E77A94">
        <w:t xml:space="preserve"> многоквартирных домов</w:t>
      </w:r>
      <w:r>
        <w:t>)</w:t>
      </w:r>
      <w:r w:rsidRPr="00E77A94">
        <w:t xml:space="preserve">, из которых муниципальный жилищный фонд насчитывает </w:t>
      </w:r>
      <w:r>
        <w:t>151,4</w:t>
      </w:r>
      <w:r w:rsidRPr="00E77A94">
        <w:t xml:space="preserve"> </w:t>
      </w:r>
      <w:r>
        <w:t xml:space="preserve">тыс. </w:t>
      </w:r>
      <w:r w:rsidRPr="001A3461">
        <w:t>м</w:t>
      </w:r>
      <w:r w:rsidRPr="001A3461">
        <w:rPr>
          <w:vertAlign w:val="superscript"/>
        </w:rPr>
        <w:t>2</w:t>
      </w:r>
      <w:r w:rsidRPr="00E77A94">
        <w:t>.</w:t>
      </w:r>
      <w:r>
        <w:t xml:space="preserve"> Жилищная проблема </w:t>
      </w:r>
      <w:r w:rsidRPr="00B33E79">
        <w:t>продолжает оставаться первостепенной</w:t>
      </w:r>
      <w:r>
        <w:t>:</w:t>
      </w:r>
      <w:r w:rsidRPr="00B33E79">
        <w:t xml:space="preserve"> </w:t>
      </w:r>
      <w:r>
        <w:t>Нефтеюганский район</w:t>
      </w:r>
      <w:r w:rsidRPr="00B33E79">
        <w:t xml:space="preserve"> отстает от </w:t>
      </w:r>
      <w:r>
        <w:t>среднего по Ханты-Мансийскому автономному округу показателя</w:t>
      </w:r>
      <w:r w:rsidRPr="00B33E79">
        <w:t xml:space="preserve"> </w:t>
      </w:r>
      <w:r>
        <w:t>уровня</w:t>
      </w:r>
      <w:r w:rsidRPr="00B33E79">
        <w:t xml:space="preserve"> обеспеченности жилой площадь</w:t>
      </w:r>
      <w:r>
        <w:t>ю, а также опережает округ по показателям вет</w:t>
      </w:r>
      <w:r w:rsidRPr="00B33E79">
        <w:t>хого и аварийного жилого фонда.</w:t>
      </w:r>
      <w:r>
        <w:t xml:space="preserve"> В 2016 г. средний уровень жилищной обеспеченности жителей района составил 14,9 </w:t>
      </w:r>
      <w:r w:rsidRPr="001A3461">
        <w:t>м</w:t>
      </w:r>
      <w:r w:rsidRPr="001A3461">
        <w:rPr>
          <w:vertAlign w:val="superscript"/>
        </w:rPr>
        <w:t>2</w:t>
      </w:r>
      <w:r>
        <w:t xml:space="preserve">/чел. (среднее значение по округу составляет 20,5 </w:t>
      </w:r>
      <w:r w:rsidRPr="001A3461">
        <w:t>м</w:t>
      </w:r>
      <w:r w:rsidRPr="001A3461">
        <w:rPr>
          <w:vertAlign w:val="superscript"/>
        </w:rPr>
        <w:t>2</w:t>
      </w:r>
      <w:r>
        <w:t>/чел.),</w:t>
      </w:r>
      <w:r w:rsidRPr="007B4C68">
        <w:t xml:space="preserve"> </w:t>
      </w:r>
      <w:r>
        <w:t>п</w:t>
      </w:r>
      <w:r w:rsidRPr="00E77A94">
        <w:t xml:space="preserve">лощадь ветхого и аварийного жилищного фонда составляет </w:t>
      </w:r>
      <w:r w:rsidRPr="0038600E">
        <w:t>149,0 тыс</w:t>
      </w:r>
      <w:r w:rsidRPr="00E77A94">
        <w:t xml:space="preserve">. </w:t>
      </w:r>
      <w:r w:rsidRPr="001A3461">
        <w:t>м</w:t>
      </w:r>
      <w:r w:rsidRPr="001A3461">
        <w:rPr>
          <w:vertAlign w:val="superscript"/>
        </w:rPr>
        <w:t>2</w:t>
      </w:r>
      <w:r>
        <w:rPr>
          <w:vertAlign w:val="superscript"/>
        </w:rPr>
        <w:t xml:space="preserve"> </w:t>
      </w:r>
      <w:r>
        <w:t xml:space="preserve">или 21,7% общей площади жилищного фонда района (среднее по округу значение составляет 7,7%). </w:t>
      </w:r>
      <w:r w:rsidRPr="00E77A94">
        <w:t xml:space="preserve">Уровень физического износа жилищного фонда </w:t>
      </w:r>
      <w:r>
        <w:t xml:space="preserve">Нефтеюганского района по состоянию на 2016 г. </w:t>
      </w:r>
      <w:r w:rsidRPr="00E77A94">
        <w:t>составляет:</w:t>
      </w:r>
      <w:r>
        <w:t xml:space="preserve"> </w:t>
      </w:r>
    </w:p>
    <w:p w14:paraId="7EAF200C" w14:textId="77777777" w:rsidR="0071424E" w:rsidRDefault="0071424E" w:rsidP="00A93D7F">
      <w:pPr>
        <w:pStyle w:val="a0"/>
        <w:numPr>
          <w:ilvl w:val="0"/>
          <w:numId w:val="7"/>
        </w:numPr>
      </w:pPr>
      <w:r w:rsidRPr="00E77A94">
        <w:t xml:space="preserve">от 0 до 30 % – </w:t>
      </w:r>
      <w:r>
        <w:t>278,7</w:t>
      </w:r>
      <w:r w:rsidRPr="00E77A94">
        <w:t xml:space="preserve"> </w:t>
      </w:r>
      <w:r>
        <w:t xml:space="preserve">тыс. </w:t>
      </w:r>
      <w:r w:rsidRPr="001A3461">
        <w:t>м</w:t>
      </w:r>
      <w:r w:rsidRPr="00F40635">
        <w:rPr>
          <w:vertAlign w:val="superscript"/>
        </w:rPr>
        <w:t>2</w:t>
      </w:r>
      <w:r>
        <w:t xml:space="preserve">; </w:t>
      </w:r>
    </w:p>
    <w:p w14:paraId="1F6D6FDC" w14:textId="77777777" w:rsidR="0071424E" w:rsidRDefault="0071424E" w:rsidP="00A93D7F">
      <w:pPr>
        <w:pStyle w:val="a0"/>
        <w:numPr>
          <w:ilvl w:val="0"/>
          <w:numId w:val="7"/>
        </w:numPr>
      </w:pPr>
      <w:r w:rsidRPr="00E77A94">
        <w:lastRenderedPageBreak/>
        <w:t xml:space="preserve">от 31 до 65 % – </w:t>
      </w:r>
      <w:r>
        <w:t xml:space="preserve">299,3 тыс. </w:t>
      </w:r>
      <w:r w:rsidRPr="001A3461">
        <w:t>м</w:t>
      </w:r>
      <w:r w:rsidRPr="00F40635">
        <w:rPr>
          <w:vertAlign w:val="superscript"/>
        </w:rPr>
        <w:t>2</w:t>
      </w:r>
      <w:r w:rsidRPr="00E77A94">
        <w:t>;</w:t>
      </w:r>
      <w:r>
        <w:t xml:space="preserve"> </w:t>
      </w:r>
    </w:p>
    <w:p w14:paraId="44691C5E" w14:textId="77777777" w:rsidR="0071424E" w:rsidRDefault="0071424E" w:rsidP="00A93D7F">
      <w:pPr>
        <w:pStyle w:val="a0"/>
        <w:numPr>
          <w:ilvl w:val="0"/>
          <w:numId w:val="7"/>
        </w:numPr>
      </w:pPr>
      <w:r w:rsidRPr="00E77A94">
        <w:t>от 66 до 70 % –</w:t>
      </w:r>
      <w:r>
        <w:t xml:space="preserve">87 тыс. </w:t>
      </w:r>
      <w:r w:rsidRPr="001A3461">
        <w:t>м</w:t>
      </w:r>
      <w:r w:rsidRPr="00F40635">
        <w:rPr>
          <w:vertAlign w:val="superscript"/>
        </w:rPr>
        <w:t>2</w:t>
      </w:r>
      <w:r w:rsidRPr="00E77A94">
        <w:t>;</w:t>
      </w:r>
      <w:r>
        <w:t xml:space="preserve"> </w:t>
      </w:r>
    </w:p>
    <w:p w14:paraId="0F722D00" w14:textId="77777777" w:rsidR="0071424E" w:rsidRDefault="0071424E" w:rsidP="00A93D7F">
      <w:pPr>
        <w:pStyle w:val="a0"/>
        <w:numPr>
          <w:ilvl w:val="0"/>
          <w:numId w:val="7"/>
        </w:numPr>
      </w:pPr>
      <w:r>
        <w:t xml:space="preserve">свыше 70 % – 22,4 </w:t>
      </w:r>
      <w:r w:rsidRPr="001A3461">
        <w:t>м</w:t>
      </w:r>
      <w:r w:rsidRPr="00F40635">
        <w:rPr>
          <w:vertAlign w:val="superscript"/>
        </w:rPr>
        <w:t>2</w:t>
      </w:r>
      <w:r w:rsidRPr="00E77A94">
        <w:t>.</w:t>
      </w:r>
    </w:p>
    <w:p w14:paraId="2A350D3A" w14:textId="77777777" w:rsidR="0071424E" w:rsidRDefault="0071424E" w:rsidP="00A93D7F"/>
    <w:p w14:paraId="3371E231" w14:textId="77777777" w:rsidR="00653D12" w:rsidRDefault="00653D12" w:rsidP="00A93D7F">
      <w:pPr>
        <w:pStyle w:val="ac"/>
      </w:pPr>
    </w:p>
    <w:p w14:paraId="504934B3" w14:textId="77777777" w:rsidR="0071424E" w:rsidRPr="00FC5C96" w:rsidRDefault="0071424E" w:rsidP="00A93D7F">
      <w:pPr>
        <w:pStyle w:val="ac"/>
      </w:pPr>
      <w:r>
        <w:t xml:space="preserve">Таблица </w:t>
      </w:r>
      <w:fldSimple w:instr=" SEQ Таблица \* ARABIC ">
        <w:r w:rsidR="00ED1BAA">
          <w:rPr>
            <w:noProof/>
          </w:rPr>
          <w:t>10</w:t>
        </w:r>
      </w:fldSimple>
    </w:p>
    <w:p w14:paraId="23778D92" w14:textId="77777777" w:rsidR="0071424E" w:rsidRPr="00653D12" w:rsidRDefault="0071424E" w:rsidP="00A93D7F">
      <w:pPr>
        <w:rPr>
          <w:b/>
        </w:rPr>
      </w:pPr>
      <w:r w:rsidRPr="00653D12">
        <w:rPr>
          <w:b/>
        </w:rPr>
        <w:t>Характеристика жилищного фонда Нефтеюганского муниципального района</w:t>
      </w:r>
    </w:p>
    <w:tbl>
      <w:tblPr>
        <w:tblW w:w="90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7"/>
        <w:gridCol w:w="811"/>
        <w:gridCol w:w="860"/>
        <w:gridCol w:w="861"/>
        <w:gridCol w:w="860"/>
        <w:gridCol w:w="861"/>
        <w:gridCol w:w="861"/>
      </w:tblGrid>
      <w:tr w:rsidR="0071424E" w:rsidRPr="00FD7F34" w14:paraId="2DAEB0F0" w14:textId="77777777" w:rsidTr="004D6893">
        <w:trPr>
          <w:trHeight w:val="268"/>
        </w:trPr>
        <w:tc>
          <w:tcPr>
            <w:tcW w:w="3977" w:type="dxa"/>
            <w:shd w:val="clear" w:color="auto" w:fill="auto"/>
            <w:hideMark/>
          </w:tcPr>
          <w:p w14:paraId="3C7EEC03" w14:textId="77777777" w:rsidR="0071424E" w:rsidRPr="00FD7F34" w:rsidRDefault="0071424E" w:rsidP="00653D12">
            <w:pPr>
              <w:pStyle w:val="af7"/>
            </w:pPr>
            <w:r w:rsidRPr="00FD7F34">
              <w:t> </w:t>
            </w:r>
          </w:p>
        </w:tc>
        <w:tc>
          <w:tcPr>
            <w:tcW w:w="811" w:type="dxa"/>
            <w:shd w:val="clear" w:color="auto" w:fill="auto"/>
            <w:vAlign w:val="center"/>
            <w:hideMark/>
          </w:tcPr>
          <w:p w14:paraId="6C30FDFD" w14:textId="77777777" w:rsidR="0071424E" w:rsidRPr="00FD7F34" w:rsidRDefault="0071424E" w:rsidP="00653D12">
            <w:pPr>
              <w:pStyle w:val="af7"/>
              <w:jc w:val="center"/>
            </w:pPr>
            <w:r w:rsidRPr="00FD7F34">
              <w:t>2011</w:t>
            </w:r>
          </w:p>
        </w:tc>
        <w:tc>
          <w:tcPr>
            <w:tcW w:w="860" w:type="dxa"/>
            <w:shd w:val="clear" w:color="auto" w:fill="auto"/>
            <w:vAlign w:val="center"/>
            <w:hideMark/>
          </w:tcPr>
          <w:p w14:paraId="2E8CB704" w14:textId="77777777" w:rsidR="0071424E" w:rsidRPr="00FD7F34" w:rsidRDefault="0071424E" w:rsidP="00653D12">
            <w:pPr>
              <w:pStyle w:val="af7"/>
              <w:jc w:val="center"/>
            </w:pPr>
            <w:r w:rsidRPr="00FD7F34">
              <w:t>2012</w:t>
            </w:r>
          </w:p>
        </w:tc>
        <w:tc>
          <w:tcPr>
            <w:tcW w:w="861" w:type="dxa"/>
            <w:shd w:val="clear" w:color="auto" w:fill="auto"/>
            <w:vAlign w:val="center"/>
            <w:hideMark/>
          </w:tcPr>
          <w:p w14:paraId="6755E1B4" w14:textId="77777777" w:rsidR="0071424E" w:rsidRPr="00FD7F34" w:rsidRDefault="0071424E" w:rsidP="00653D12">
            <w:pPr>
              <w:pStyle w:val="af7"/>
              <w:jc w:val="center"/>
            </w:pPr>
            <w:r w:rsidRPr="00FD7F34">
              <w:t>2013</w:t>
            </w:r>
          </w:p>
        </w:tc>
        <w:tc>
          <w:tcPr>
            <w:tcW w:w="860" w:type="dxa"/>
            <w:shd w:val="clear" w:color="auto" w:fill="auto"/>
            <w:vAlign w:val="center"/>
            <w:hideMark/>
          </w:tcPr>
          <w:p w14:paraId="64C09AA5" w14:textId="77777777" w:rsidR="0071424E" w:rsidRPr="00FD7F34" w:rsidRDefault="0071424E" w:rsidP="00653D12">
            <w:pPr>
              <w:pStyle w:val="af7"/>
              <w:jc w:val="center"/>
            </w:pPr>
            <w:r w:rsidRPr="00FD7F34">
              <w:t>2014</w:t>
            </w:r>
          </w:p>
        </w:tc>
        <w:tc>
          <w:tcPr>
            <w:tcW w:w="861" w:type="dxa"/>
            <w:shd w:val="clear" w:color="auto" w:fill="auto"/>
            <w:vAlign w:val="center"/>
            <w:hideMark/>
          </w:tcPr>
          <w:p w14:paraId="4BF98721" w14:textId="77777777" w:rsidR="0071424E" w:rsidRPr="00FD7F34" w:rsidRDefault="0071424E" w:rsidP="00653D12">
            <w:pPr>
              <w:pStyle w:val="af7"/>
              <w:jc w:val="center"/>
            </w:pPr>
            <w:r w:rsidRPr="00FD7F34">
              <w:t>2015</w:t>
            </w:r>
          </w:p>
        </w:tc>
        <w:tc>
          <w:tcPr>
            <w:tcW w:w="861" w:type="dxa"/>
            <w:vAlign w:val="center"/>
          </w:tcPr>
          <w:p w14:paraId="3EC1D900" w14:textId="77777777" w:rsidR="0071424E" w:rsidRPr="00FD7F34" w:rsidRDefault="0071424E" w:rsidP="00653D12">
            <w:pPr>
              <w:pStyle w:val="af7"/>
              <w:jc w:val="center"/>
            </w:pPr>
            <w:r w:rsidRPr="00FD7F34">
              <w:t>2016</w:t>
            </w:r>
          </w:p>
        </w:tc>
      </w:tr>
      <w:tr w:rsidR="0071424E" w:rsidRPr="00FD7F34" w14:paraId="085443FB" w14:textId="77777777" w:rsidTr="004D6893">
        <w:trPr>
          <w:trHeight w:val="735"/>
        </w:trPr>
        <w:tc>
          <w:tcPr>
            <w:tcW w:w="3977" w:type="dxa"/>
            <w:shd w:val="clear" w:color="auto" w:fill="auto"/>
            <w:hideMark/>
          </w:tcPr>
          <w:p w14:paraId="21C6BC29" w14:textId="77777777" w:rsidR="0071424E" w:rsidRPr="00FD7F34" w:rsidRDefault="0071424E" w:rsidP="00653D12">
            <w:pPr>
              <w:pStyle w:val="af7"/>
            </w:pPr>
            <w:r w:rsidRPr="00FD7F34">
              <w:t>Введено в действие жилых домов на территории муниципального образования, тыс. м</w:t>
            </w:r>
            <w:r w:rsidRPr="00FD7F34">
              <w:rPr>
                <w:vertAlign w:val="superscript"/>
              </w:rPr>
              <w:t xml:space="preserve">2 </w:t>
            </w:r>
            <w:r w:rsidRPr="00FD7F34">
              <w:t>общей площади</w:t>
            </w:r>
          </w:p>
        </w:tc>
        <w:tc>
          <w:tcPr>
            <w:tcW w:w="811" w:type="dxa"/>
            <w:shd w:val="clear" w:color="auto" w:fill="auto"/>
            <w:noWrap/>
            <w:vAlign w:val="center"/>
            <w:hideMark/>
          </w:tcPr>
          <w:p w14:paraId="602D239F" w14:textId="77777777" w:rsidR="0071424E" w:rsidRPr="00FD7F34" w:rsidRDefault="0071424E" w:rsidP="00653D12">
            <w:pPr>
              <w:pStyle w:val="af7"/>
              <w:jc w:val="center"/>
            </w:pPr>
            <w:r w:rsidRPr="00FD7F34">
              <w:t>8,0</w:t>
            </w:r>
          </w:p>
        </w:tc>
        <w:tc>
          <w:tcPr>
            <w:tcW w:w="860" w:type="dxa"/>
            <w:shd w:val="clear" w:color="auto" w:fill="auto"/>
            <w:noWrap/>
            <w:vAlign w:val="center"/>
            <w:hideMark/>
          </w:tcPr>
          <w:p w14:paraId="3EBC637A" w14:textId="77777777" w:rsidR="0071424E" w:rsidRPr="00FD7F34" w:rsidRDefault="0071424E" w:rsidP="00653D12">
            <w:pPr>
              <w:pStyle w:val="af7"/>
              <w:jc w:val="center"/>
            </w:pPr>
            <w:r w:rsidRPr="00FD7F34">
              <w:t>20,9</w:t>
            </w:r>
          </w:p>
        </w:tc>
        <w:tc>
          <w:tcPr>
            <w:tcW w:w="861" w:type="dxa"/>
            <w:shd w:val="clear" w:color="auto" w:fill="auto"/>
            <w:noWrap/>
            <w:vAlign w:val="center"/>
            <w:hideMark/>
          </w:tcPr>
          <w:p w14:paraId="5C411B8E" w14:textId="77777777" w:rsidR="0071424E" w:rsidRPr="00FD7F34" w:rsidRDefault="0071424E" w:rsidP="00653D12">
            <w:pPr>
              <w:pStyle w:val="af7"/>
              <w:jc w:val="center"/>
            </w:pPr>
            <w:r w:rsidRPr="00FD7F34">
              <w:t>23,0</w:t>
            </w:r>
          </w:p>
        </w:tc>
        <w:tc>
          <w:tcPr>
            <w:tcW w:w="860" w:type="dxa"/>
            <w:shd w:val="clear" w:color="auto" w:fill="auto"/>
            <w:noWrap/>
            <w:vAlign w:val="center"/>
            <w:hideMark/>
          </w:tcPr>
          <w:p w14:paraId="48CB076D" w14:textId="77777777" w:rsidR="0071424E" w:rsidRPr="00FD7F34" w:rsidRDefault="0071424E" w:rsidP="00653D12">
            <w:pPr>
              <w:pStyle w:val="af7"/>
              <w:jc w:val="center"/>
            </w:pPr>
            <w:r w:rsidRPr="00FD7F34">
              <w:t>11,7</w:t>
            </w:r>
          </w:p>
        </w:tc>
        <w:tc>
          <w:tcPr>
            <w:tcW w:w="861" w:type="dxa"/>
            <w:shd w:val="clear" w:color="auto" w:fill="auto"/>
            <w:noWrap/>
            <w:vAlign w:val="center"/>
            <w:hideMark/>
          </w:tcPr>
          <w:p w14:paraId="2FE8CF91" w14:textId="77777777" w:rsidR="0071424E" w:rsidRPr="00FD7F34" w:rsidRDefault="0071424E" w:rsidP="00653D12">
            <w:pPr>
              <w:pStyle w:val="af7"/>
              <w:jc w:val="center"/>
            </w:pPr>
            <w:r w:rsidRPr="00FD7F34">
              <w:t>34,3</w:t>
            </w:r>
          </w:p>
        </w:tc>
        <w:tc>
          <w:tcPr>
            <w:tcW w:w="861" w:type="dxa"/>
            <w:vAlign w:val="center"/>
          </w:tcPr>
          <w:p w14:paraId="116FC7E5" w14:textId="77777777" w:rsidR="0071424E" w:rsidRPr="00FD7F34" w:rsidRDefault="0071424E" w:rsidP="00653D12">
            <w:pPr>
              <w:pStyle w:val="af7"/>
              <w:jc w:val="center"/>
            </w:pPr>
            <w:r w:rsidRPr="00FD7F34">
              <w:t>11,6</w:t>
            </w:r>
          </w:p>
        </w:tc>
      </w:tr>
      <w:tr w:rsidR="0071424E" w:rsidRPr="00FD7F34" w14:paraId="5D22FE60" w14:textId="77777777" w:rsidTr="004D6893">
        <w:trPr>
          <w:trHeight w:val="365"/>
        </w:trPr>
        <w:tc>
          <w:tcPr>
            <w:tcW w:w="3977" w:type="dxa"/>
            <w:shd w:val="clear" w:color="auto" w:fill="auto"/>
            <w:vAlign w:val="center"/>
            <w:hideMark/>
          </w:tcPr>
          <w:p w14:paraId="23C0B8F8" w14:textId="77777777" w:rsidR="0071424E" w:rsidRPr="00FD7F34" w:rsidRDefault="0071424E" w:rsidP="00653D12">
            <w:pPr>
              <w:pStyle w:val="af7"/>
            </w:pPr>
            <w:r w:rsidRPr="00FD7F34">
              <w:t>Общая площадь жилых помещений, тыс. м</w:t>
            </w:r>
            <w:r w:rsidRPr="00FD7F34">
              <w:rPr>
                <w:vertAlign w:val="superscript"/>
              </w:rPr>
              <w:t>2</w:t>
            </w:r>
          </w:p>
        </w:tc>
        <w:tc>
          <w:tcPr>
            <w:tcW w:w="811" w:type="dxa"/>
            <w:shd w:val="clear" w:color="auto" w:fill="auto"/>
            <w:noWrap/>
            <w:vAlign w:val="center"/>
            <w:hideMark/>
          </w:tcPr>
          <w:p w14:paraId="3384D231" w14:textId="45D78E96" w:rsidR="0071424E" w:rsidRPr="00FD7F34" w:rsidRDefault="00082875" w:rsidP="00653D12">
            <w:pPr>
              <w:pStyle w:val="af7"/>
              <w:jc w:val="center"/>
            </w:pPr>
            <w:r w:rsidRPr="00FD7F34">
              <w:t>н/д</w:t>
            </w:r>
          </w:p>
        </w:tc>
        <w:tc>
          <w:tcPr>
            <w:tcW w:w="860" w:type="dxa"/>
            <w:shd w:val="clear" w:color="auto" w:fill="auto"/>
            <w:noWrap/>
            <w:vAlign w:val="center"/>
            <w:hideMark/>
          </w:tcPr>
          <w:p w14:paraId="09808250" w14:textId="77777777" w:rsidR="0071424E" w:rsidRPr="00FD7F34" w:rsidRDefault="0071424E" w:rsidP="00653D12">
            <w:pPr>
              <w:pStyle w:val="af7"/>
              <w:jc w:val="center"/>
            </w:pPr>
            <w:r w:rsidRPr="00FD7F34">
              <w:t>603,7</w:t>
            </w:r>
          </w:p>
        </w:tc>
        <w:tc>
          <w:tcPr>
            <w:tcW w:w="861" w:type="dxa"/>
            <w:shd w:val="clear" w:color="auto" w:fill="auto"/>
            <w:noWrap/>
            <w:vAlign w:val="center"/>
            <w:hideMark/>
          </w:tcPr>
          <w:p w14:paraId="2213E8BE" w14:textId="77777777" w:rsidR="0071424E" w:rsidRPr="00FD7F34" w:rsidRDefault="0071424E" w:rsidP="00653D12">
            <w:pPr>
              <w:pStyle w:val="af7"/>
              <w:jc w:val="center"/>
            </w:pPr>
            <w:r w:rsidRPr="00FD7F34">
              <w:t>645,9</w:t>
            </w:r>
          </w:p>
        </w:tc>
        <w:tc>
          <w:tcPr>
            <w:tcW w:w="860" w:type="dxa"/>
            <w:shd w:val="clear" w:color="auto" w:fill="auto"/>
            <w:noWrap/>
            <w:vAlign w:val="center"/>
            <w:hideMark/>
          </w:tcPr>
          <w:p w14:paraId="70D484E8" w14:textId="77777777" w:rsidR="0071424E" w:rsidRPr="00FD7F34" w:rsidRDefault="0071424E" w:rsidP="00653D12">
            <w:pPr>
              <w:pStyle w:val="af7"/>
              <w:jc w:val="center"/>
            </w:pPr>
            <w:r w:rsidRPr="00FD7F34">
              <w:t>646,9</w:t>
            </w:r>
          </w:p>
        </w:tc>
        <w:tc>
          <w:tcPr>
            <w:tcW w:w="861" w:type="dxa"/>
            <w:shd w:val="clear" w:color="auto" w:fill="auto"/>
            <w:noWrap/>
            <w:vAlign w:val="center"/>
            <w:hideMark/>
          </w:tcPr>
          <w:p w14:paraId="23FBA7DA" w14:textId="77777777" w:rsidR="0071424E" w:rsidRPr="00FD7F34" w:rsidRDefault="0071424E" w:rsidP="00653D12">
            <w:pPr>
              <w:pStyle w:val="af7"/>
              <w:jc w:val="center"/>
            </w:pPr>
            <w:r w:rsidRPr="00FD7F34">
              <w:t>646,9</w:t>
            </w:r>
          </w:p>
        </w:tc>
        <w:tc>
          <w:tcPr>
            <w:tcW w:w="861" w:type="dxa"/>
            <w:vAlign w:val="center"/>
          </w:tcPr>
          <w:p w14:paraId="08631B82" w14:textId="77777777" w:rsidR="0071424E" w:rsidRPr="00FD7F34" w:rsidRDefault="0071424E" w:rsidP="00653D12">
            <w:pPr>
              <w:pStyle w:val="af7"/>
              <w:jc w:val="center"/>
            </w:pPr>
            <w:r w:rsidRPr="00FD7F34">
              <w:t>687,4</w:t>
            </w:r>
          </w:p>
        </w:tc>
      </w:tr>
      <w:tr w:rsidR="0071424E" w:rsidRPr="00FD7F34" w14:paraId="6897FE0C" w14:textId="77777777" w:rsidTr="004D6893">
        <w:trPr>
          <w:trHeight w:val="424"/>
        </w:trPr>
        <w:tc>
          <w:tcPr>
            <w:tcW w:w="3977" w:type="dxa"/>
            <w:shd w:val="clear" w:color="auto" w:fill="auto"/>
          </w:tcPr>
          <w:p w14:paraId="228592E7" w14:textId="77777777" w:rsidR="0071424E" w:rsidRPr="00FD7F34" w:rsidRDefault="0071424E" w:rsidP="00653D12">
            <w:pPr>
              <w:pStyle w:val="af7"/>
              <w:rPr>
                <w:rFonts w:eastAsia="Times New Roman"/>
              </w:rPr>
            </w:pPr>
            <w:r w:rsidRPr="00FD7F34">
              <w:t>Средний уровень жилищной обеспеченности, м</w:t>
            </w:r>
            <w:r w:rsidRPr="00FD7F34">
              <w:rPr>
                <w:vertAlign w:val="superscript"/>
              </w:rPr>
              <w:t>2</w:t>
            </w:r>
            <w:r w:rsidRPr="00FD7F34">
              <w:t>/чел.</w:t>
            </w:r>
          </w:p>
        </w:tc>
        <w:tc>
          <w:tcPr>
            <w:tcW w:w="811" w:type="dxa"/>
            <w:shd w:val="clear" w:color="auto" w:fill="auto"/>
            <w:noWrap/>
            <w:vAlign w:val="center"/>
          </w:tcPr>
          <w:p w14:paraId="79615C37" w14:textId="2202AA79" w:rsidR="0071424E" w:rsidRPr="00FD7F34" w:rsidRDefault="00082875" w:rsidP="00653D12">
            <w:pPr>
              <w:pStyle w:val="af7"/>
              <w:jc w:val="center"/>
            </w:pPr>
            <w:r w:rsidRPr="00FD7F34">
              <w:t>н/д</w:t>
            </w:r>
          </w:p>
        </w:tc>
        <w:tc>
          <w:tcPr>
            <w:tcW w:w="860" w:type="dxa"/>
            <w:shd w:val="clear" w:color="auto" w:fill="auto"/>
            <w:noWrap/>
            <w:vAlign w:val="center"/>
          </w:tcPr>
          <w:p w14:paraId="271BA1F1" w14:textId="77777777" w:rsidR="0071424E" w:rsidRPr="00FD7F34" w:rsidRDefault="0071424E" w:rsidP="00653D12">
            <w:pPr>
              <w:pStyle w:val="af7"/>
              <w:jc w:val="center"/>
            </w:pPr>
            <w:r w:rsidRPr="00FD7F34">
              <w:t>13,8</w:t>
            </w:r>
          </w:p>
        </w:tc>
        <w:tc>
          <w:tcPr>
            <w:tcW w:w="861" w:type="dxa"/>
            <w:shd w:val="clear" w:color="auto" w:fill="auto"/>
            <w:noWrap/>
            <w:vAlign w:val="center"/>
          </w:tcPr>
          <w:p w14:paraId="6A206D0B" w14:textId="77777777" w:rsidR="0071424E" w:rsidRPr="00FD7F34" w:rsidRDefault="0071424E" w:rsidP="00653D12">
            <w:pPr>
              <w:pStyle w:val="af7"/>
              <w:jc w:val="center"/>
            </w:pPr>
            <w:r w:rsidRPr="00FD7F34">
              <w:t>16,2</w:t>
            </w:r>
          </w:p>
        </w:tc>
        <w:tc>
          <w:tcPr>
            <w:tcW w:w="860" w:type="dxa"/>
            <w:shd w:val="clear" w:color="auto" w:fill="auto"/>
            <w:noWrap/>
            <w:vAlign w:val="center"/>
          </w:tcPr>
          <w:p w14:paraId="79043EAC" w14:textId="77777777" w:rsidR="0071424E" w:rsidRPr="00FD7F34" w:rsidRDefault="0071424E" w:rsidP="00653D12">
            <w:pPr>
              <w:pStyle w:val="af7"/>
              <w:jc w:val="center"/>
            </w:pPr>
            <w:r w:rsidRPr="00FD7F34">
              <w:t>14,5</w:t>
            </w:r>
          </w:p>
        </w:tc>
        <w:tc>
          <w:tcPr>
            <w:tcW w:w="861" w:type="dxa"/>
            <w:shd w:val="clear" w:color="auto" w:fill="auto"/>
            <w:noWrap/>
            <w:vAlign w:val="center"/>
          </w:tcPr>
          <w:p w14:paraId="32E53A1B" w14:textId="77777777" w:rsidR="0071424E" w:rsidRPr="00FD7F34" w:rsidRDefault="0071424E" w:rsidP="00653D12">
            <w:pPr>
              <w:pStyle w:val="af7"/>
              <w:jc w:val="center"/>
            </w:pPr>
            <w:r w:rsidRPr="00FD7F34">
              <w:t>15,1</w:t>
            </w:r>
          </w:p>
        </w:tc>
        <w:tc>
          <w:tcPr>
            <w:tcW w:w="861" w:type="dxa"/>
            <w:vAlign w:val="center"/>
          </w:tcPr>
          <w:p w14:paraId="1EF2EDC2" w14:textId="77777777" w:rsidR="0071424E" w:rsidRPr="00FD7F34" w:rsidRDefault="0071424E" w:rsidP="00653D12">
            <w:pPr>
              <w:pStyle w:val="af7"/>
              <w:jc w:val="center"/>
            </w:pPr>
            <w:r w:rsidRPr="00FD7F34">
              <w:t>14,9</w:t>
            </w:r>
          </w:p>
        </w:tc>
      </w:tr>
      <w:tr w:rsidR="009210EA" w:rsidRPr="00FD7F34" w14:paraId="6DB93958" w14:textId="77777777" w:rsidTr="009210EA">
        <w:trPr>
          <w:trHeight w:val="516"/>
        </w:trPr>
        <w:tc>
          <w:tcPr>
            <w:tcW w:w="3977" w:type="dxa"/>
            <w:shd w:val="clear" w:color="auto" w:fill="auto"/>
            <w:hideMark/>
          </w:tcPr>
          <w:p w14:paraId="29F9F2A5" w14:textId="77777777" w:rsidR="009210EA" w:rsidRPr="00FD7F34" w:rsidRDefault="009210EA" w:rsidP="00653D12">
            <w:pPr>
              <w:pStyle w:val="af7"/>
            </w:pPr>
            <w:r w:rsidRPr="00FD7F34">
              <w:t>Общая площадь жилых помещений в ветхих и аварийных жилых домах, тыс. м</w:t>
            </w:r>
            <w:r w:rsidRPr="00FD7F34">
              <w:rPr>
                <w:vertAlign w:val="superscript"/>
              </w:rPr>
              <w:t>2</w:t>
            </w:r>
          </w:p>
        </w:tc>
        <w:tc>
          <w:tcPr>
            <w:tcW w:w="811" w:type="dxa"/>
            <w:shd w:val="clear" w:color="auto" w:fill="auto"/>
            <w:noWrap/>
            <w:vAlign w:val="center"/>
            <w:hideMark/>
          </w:tcPr>
          <w:p w14:paraId="74DE6713" w14:textId="076390D4" w:rsidR="009210EA" w:rsidRPr="00FD7F34" w:rsidRDefault="009210EA" w:rsidP="00653D12">
            <w:pPr>
              <w:pStyle w:val="af7"/>
              <w:jc w:val="center"/>
            </w:pPr>
            <w:r w:rsidRPr="00FD7F34">
              <w:t>10,7</w:t>
            </w:r>
          </w:p>
        </w:tc>
        <w:tc>
          <w:tcPr>
            <w:tcW w:w="860" w:type="dxa"/>
            <w:shd w:val="clear" w:color="auto" w:fill="auto"/>
            <w:noWrap/>
            <w:vAlign w:val="center"/>
            <w:hideMark/>
          </w:tcPr>
          <w:p w14:paraId="13253A84" w14:textId="11B7B769" w:rsidR="009210EA" w:rsidRPr="00FD7F34" w:rsidRDefault="009210EA" w:rsidP="00653D12">
            <w:pPr>
              <w:pStyle w:val="af7"/>
              <w:jc w:val="center"/>
            </w:pPr>
            <w:r w:rsidRPr="00FD7F34">
              <w:t>12,9</w:t>
            </w:r>
          </w:p>
        </w:tc>
        <w:tc>
          <w:tcPr>
            <w:tcW w:w="861" w:type="dxa"/>
            <w:shd w:val="clear" w:color="auto" w:fill="auto"/>
            <w:noWrap/>
            <w:vAlign w:val="center"/>
            <w:hideMark/>
          </w:tcPr>
          <w:p w14:paraId="1642A21D" w14:textId="5003F8EE" w:rsidR="009210EA" w:rsidRPr="00FD7F34" w:rsidRDefault="009210EA" w:rsidP="00653D12">
            <w:pPr>
              <w:pStyle w:val="af7"/>
              <w:jc w:val="center"/>
            </w:pPr>
            <w:r w:rsidRPr="00FD7F34">
              <w:t>12,9</w:t>
            </w:r>
          </w:p>
        </w:tc>
        <w:tc>
          <w:tcPr>
            <w:tcW w:w="860" w:type="dxa"/>
            <w:shd w:val="clear" w:color="auto" w:fill="auto"/>
            <w:noWrap/>
            <w:vAlign w:val="center"/>
            <w:hideMark/>
          </w:tcPr>
          <w:p w14:paraId="1551E2F1" w14:textId="4371AEBC" w:rsidR="009210EA" w:rsidRPr="00FD7F34" w:rsidRDefault="009210EA" w:rsidP="00653D12">
            <w:pPr>
              <w:pStyle w:val="af7"/>
              <w:jc w:val="center"/>
            </w:pPr>
            <w:r w:rsidRPr="00FD7F34">
              <w:t>18,3</w:t>
            </w:r>
          </w:p>
        </w:tc>
        <w:tc>
          <w:tcPr>
            <w:tcW w:w="861" w:type="dxa"/>
            <w:shd w:val="clear" w:color="auto" w:fill="auto"/>
            <w:noWrap/>
            <w:vAlign w:val="center"/>
            <w:hideMark/>
          </w:tcPr>
          <w:p w14:paraId="017BF811" w14:textId="2A59EC32" w:rsidR="009210EA" w:rsidRPr="00FD7F34" w:rsidRDefault="009210EA" w:rsidP="00653D12">
            <w:pPr>
              <w:pStyle w:val="af7"/>
              <w:jc w:val="center"/>
            </w:pPr>
            <w:r w:rsidRPr="00FD7F34">
              <w:t>37,3</w:t>
            </w:r>
          </w:p>
        </w:tc>
        <w:tc>
          <w:tcPr>
            <w:tcW w:w="861" w:type="dxa"/>
            <w:vAlign w:val="center"/>
          </w:tcPr>
          <w:p w14:paraId="0BE866B7" w14:textId="56C7162D" w:rsidR="009210EA" w:rsidRPr="00FD7F34" w:rsidRDefault="009210EA" w:rsidP="00653D12">
            <w:pPr>
              <w:pStyle w:val="af7"/>
              <w:jc w:val="center"/>
            </w:pPr>
            <w:r w:rsidRPr="00FD7F34">
              <w:t>68,5</w:t>
            </w:r>
          </w:p>
        </w:tc>
      </w:tr>
      <w:tr w:rsidR="0071424E" w:rsidRPr="00FD7F34" w14:paraId="1273A789" w14:textId="77777777" w:rsidTr="004D6893">
        <w:trPr>
          <w:trHeight w:val="478"/>
        </w:trPr>
        <w:tc>
          <w:tcPr>
            <w:tcW w:w="3977" w:type="dxa"/>
            <w:shd w:val="clear" w:color="auto" w:fill="auto"/>
            <w:hideMark/>
          </w:tcPr>
          <w:p w14:paraId="75D9D984" w14:textId="77777777" w:rsidR="0071424E" w:rsidRPr="00FD7F34" w:rsidRDefault="0071424E" w:rsidP="00653D12">
            <w:pPr>
              <w:pStyle w:val="af7"/>
            </w:pPr>
            <w:r w:rsidRPr="00FD7F34">
              <w:t>Число проживающих в ветхом и аварийном жилищном фонде, семей</w:t>
            </w:r>
          </w:p>
        </w:tc>
        <w:tc>
          <w:tcPr>
            <w:tcW w:w="811" w:type="dxa"/>
            <w:shd w:val="clear" w:color="auto" w:fill="auto"/>
            <w:noWrap/>
            <w:vAlign w:val="center"/>
            <w:hideMark/>
          </w:tcPr>
          <w:p w14:paraId="417A9ECE" w14:textId="77777777" w:rsidR="0071424E" w:rsidRPr="00FD7F34" w:rsidRDefault="0071424E" w:rsidP="00653D12">
            <w:pPr>
              <w:pStyle w:val="af7"/>
              <w:jc w:val="center"/>
            </w:pPr>
            <w:r w:rsidRPr="00FD7F34">
              <w:t>1251</w:t>
            </w:r>
          </w:p>
        </w:tc>
        <w:tc>
          <w:tcPr>
            <w:tcW w:w="860" w:type="dxa"/>
            <w:shd w:val="clear" w:color="auto" w:fill="auto"/>
            <w:noWrap/>
            <w:vAlign w:val="center"/>
            <w:hideMark/>
          </w:tcPr>
          <w:p w14:paraId="182B1670" w14:textId="77777777" w:rsidR="0071424E" w:rsidRPr="00FD7F34" w:rsidRDefault="0071424E" w:rsidP="00653D12">
            <w:pPr>
              <w:pStyle w:val="af7"/>
              <w:jc w:val="center"/>
            </w:pPr>
            <w:r w:rsidRPr="00FD7F34">
              <w:t>1146</w:t>
            </w:r>
          </w:p>
        </w:tc>
        <w:tc>
          <w:tcPr>
            <w:tcW w:w="861" w:type="dxa"/>
            <w:shd w:val="clear" w:color="auto" w:fill="auto"/>
            <w:noWrap/>
            <w:vAlign w:val="center"/>
            <w:hideMark/>
          </w:tcPr>
          <w:p w14:paraId="480872BF" w14:textId="77777777" w:rsidR="0071424E" w:rsidRPr="00FD7F34" w:rsidRDefault="0071424E" w:rsidP="00653D12">
            <w:pPr>
              <w:pStyle w:val="af7"/>
              <w:jc w:val="center"/>
            </w:pPr>
            <w:r w:rsidRPr="00FD7F34">
              <w:t>1102</w:t>
            </w:r>
          </w:p>
        </w:tc>
        <w:tc>
          <w:tcPr>
            <w:tcW w:w="860" w:type="dxa"/>
            <w:shd w:val="clear" w:color="auto" w:fill="auto"/>
            <w:noWrap/>
            <w:vAlign w:val="center"/>
            <w:hideMark/>
          </w:tcPr>
          <w:p w14:paraId="0726DBBD" w14:textId="77777777" w:rsidR="0071424E" w:rsidRPr="00FD7F34" w:rsidRDefault="0071424E" w:rsidP="00653D12">
            <w:pPr>
              <w:pStyle w:val="af7"/>
              <w:jc w:val="center"/>
            </w:pPr>
            <w:r w:rsidRPr="00FD7F34">
              <w:t>1009</w:t>
            </w:r>
          </w:p>
        </w:tc>
        <w:tc>
          <w:tcPr>
            <w:tcW w:w="861" w:type="dxa"/>
            <w:shd w:val="clear" w:color="auto" w:fill="auto"/>
            <w:noWrap/>
            <w:vAlign w:val="center"/>
            <w:hideMark/>
          </w:tcPr>
          <w:p w14:paraId="78C886AC" w14:textId="77777777" w:rsidR="0071424E" w:rsidRPr="00FD7F34" w:rsidRDefault="0071424E" w:rsidP="00653D12">
            <w:pPr>
              <w:pStyle w:val="af7"/>
              <w:jc w:val="center"/>
            </w:pPr>
            <w:r w:rsidRPr="00FD7F34">
              <w:t>1312</w:t>
            </w:r>
          </w:p>
        </w:tc>
        <w:tc>
          <w:tcPr>
            <w:tcW w:w="861" w:type="dxa"/>
            <w:vAlign w:val="center"/>
          </w:tcPr>
          <w:p w14:paraId="3FE36A59" w14:textId="77777777" w:rsidR="0071424E" w:rsidRPr="00FD7F34" w:rsidRDefault="0071424E" w:rsidP="00653D12">
            <w:pPr>
              <w:pStyle w:val="af7"/>
              <w:jc w:val="center"/>
            </w:pPr>
            <w:r w:rsidRPr="00FD7F34">
              <w:t>1288</w:t>
            </w:r>
          </w:p>
        </w:tc>
      </w:tr>
      <w:tr w:rsidR="0071424E" w:rsidRPr="00FD7F34" w14:paraId="314DBDB6" w14:textId="77777777" w:rsidTr="004D6893">
        <w:trPr>
          <w:trHeight w:val="418"/>
        </w:trPr>
        <w:tc>
          <w:tcPr>
            <w:tcW w:w="3977" w:type="dxa"/>
            <w:shd w:val="clear" w:color="auto" w:fill="auto"/>
            <w:hideMark/>
          </w:tcPr>
          <w:p w14:paraId="79EEE604" w14:textId="77777777" w:rsidR="0071424E" w:rsidRPr="00FD7F34" w:rsidRDefault="0071424E" w:rsidP="00653D12">
            <w:pPr>
              <w:pStyle w:val="af7"/>
            </w:pPr>
            <w:r w:rsidRPr="00FD7F34">
              <w:t>Переселено из ветхих и аварийных жилых домов, семей</w:t>
            </w:r>
          </w:p>
        </w:tc>
        <w:tc>
          <w:tcPr>
            <w:tcW w:w="811" w:type="dxa"/>
            <w:shd w:val="clear" w:color="auto" w:fill="auto"/>
            <w:noWrap/>
            <w:vAlign w:val="center"/>
            <w:hideMark/>
          </w:tcPr>
          <w:p w14:paraId="5CFB30F2" w14:textId="60DBEE47" w:rsidR="0071424E" w:rsidRPr="00FD7F34" w:rsidRDefault="00612B84" w:rsidP="00653D12">
            <w:pPr>
              <w:pStyle w:val="af7"/>
              <w:jc w:val="center"/>
            </w:pPr>
            <w:r w:rsidRPr="00FD7F34">
              <w:t>н/д</w:t>
            </w:r>
          </w:p>
        </w:tc>
        <w:tc>
          <w:tcPr>
            <w:tcW w:w="860" w:type="dxa"/>
            <w:shd w:val="clear" w:color="auto" w:fill="auto"/>
            <w:noWrap/>
            <w:vAlign w:val="center"/>
            <w:hideMark/>
          </w:tcPr>
          <w:p w14:paraId="2B9199BE" w14:textId="77777777" w:rsidR="0071424E" w:rsidRPr="00FD7F34" w:rsidRDefault="0071424E" w:rsidP="00653D12">
            <w:pPr>
              <w:pStyle w:val="af7"/>
              <w:jc w:val="center"/>
            </w:pPr>
            <w:r w:rsidRPr="00FD7F34">
              <w:t>189</w:t>
            </w:r>
          </w:p>
        </w:tc>
        <w:tc>
          <w:tcPr>
            <w:tcW w:w="861" w:type="dxa"/>
            <w:shd w:val="clear" w:color="auto" w:fill="auto"/>
            <w:noWrap/>
            <w:vAlign w:val="center"/>
            <w:hideMark/>
          </w:tcPr>
          <w:p w14:paraId="0BC3E219" w14:textId="7050F19B" w:rsidR="0071424E" w:rsidRPr="00FD7F34" w:rsidRDefault="00612B84" w:rsidP="00653D12">
            <w:pPr>
              <w:pStyle w:val="af7"/>
              <w:jc w:val="center"/>
            </w:pPr>
            <w:r w:rsidRPr="00FD7F34">
              <w:t>н/д</w:t>
            </w:r>
          </w:p>
        </w:tc>
        <w:tc>
          <w:tcPr>
            <w:tcW w:w="860" w:type="dxa"/>
            <w:shd w:val="clear" w:color="auto" w:fill="auto"/>
            <w:noWrap/>
            <w:vAlign w:val="center"/>
            <w:hideMark/>
          </w:tcPr>
          <w:p w14:paraId="74C584EA" w14:textId="77777777" w:rsidR="0071424E" w:rsidRPr="00FD7F34" w:rsidRDefault="0071424E" w:rsidP="00653D12">
            <w:pPr>
              <w:pStyle w:val="af7"/>
              <w:jc w:val="center"/>
            </w:pPr>
            <w:r w:rsidRPr="00FD7F34">
              <w:t>220</w:t>
            </w:r>
          </w:p>
        </w:tc>
        <w:tc>
          <w:tcPr>
            <w:tcW w:w="861" w:type="dxa"/>
            <w:shd w:val="clear" w:color="auto" w:fill="auto"/>
            <w:noWrap/>
            <w:vAlign w:val="center"/>
            <w:hideMark/>
          </w:tcPr>
          <w:p w14:paraId="5888E8D0" w14:textId="6C51C303" w:rsidR="0071424E" w:rsidRPr="00FD7F34" w:rsidRDefault="00612B84" w:rsidP="00653D12">
            <w:pPr>
              <w:pStyle w:val="af7"/>
              <w:jc w:val="center"/>
            </w:pPr>
            <w:r w:rsidRPr="00FD7F34">
              <w:t>н/д</w:t>
            </w:r>
          </w:p>
        </w:tc>
        <w:tc>
          <w:tcPr>
            <w:tcW w:w="861" w:type="dxa"/>
            <w:vAlign w:val="center"/>
          </w:tcPr>
          <w:p w14:paraId="17584B4E" w14:textId="77777777" w:rsidR="0071424E" w:rsidRPr="00FD7F34" w:rsidRDefault="0071424E" w:rsidP="00653D12">
            <w:pPr>
              <w:pStyle w:val="af7"/>
              <w:jc w:val="center"/>
            </w:pPr>
            <w:r w:rsidRPr="00FD7F34">
              <w:t>752</w:t>
            </w:r>
          </w:p>
        </w:tc>
      </w:tr>
    </w:tbl>
    <w:p w14:paraId="0E73C8CF" w14:textId="77777777" w:rsidR="0071424E" w:rsidRPr="00653D12" w:rsidRDefault="0071424E" w:rsidP="00A93D7F">
      <w:pPr>
        <w:rPr>
          <w:sz w:val="20"/>
          <w:szCs w:val="20"/>
        </w:rPr>
      </w:pPr>
      <w:r w:rsidRPr="00653D12">
        <w:rPr>
          <w:sz w:val="20"/>
          <w:szCs w:val="20"/>
        </w:rPr>
        <w:t>Источник: Росстат, Итоги социально-экономического развития муниципального образования Нефтеюганский район за 2011-2017 гг.</w:t>
      </w:r>
    </w:p>
    <w:p w14:paraId="0AEB70F0" w14:textId="77777777" w:rsidR="0071424E" w:rsidRPr="00E77A94" w:rsidRDefault="0071424E" w:rsidP="00A93D7F"/>
    <w:p w14:paraId="05586276" w14:textId="77777777" w:rsidR="0071424E" w:rsidRDefault="0071424E" w:rsidP="00A93D7F">
      <w:r>
        <w:t>Р</w:t>
      </w:r>
      <w:r w:rsidRPr="00B33E79">
        <w:t xml:space="preserve">ешение жилищной проблемы </w:t>
      </w:r>
      <w:r>
        <w:t>района</w:t>
      </w:r>
      <w:r w:rsidRPr="00B33E79">
        <w:t xml:space="preserve"> </w:t>
      </w:r>
      <w:r>
        <w:t>по ликвидации аварийного и фенольного жилья</w:t>
      </w:r>
      <w:r w:rsidRPr="00B33E79">
        <w:t xml:space="preserve"> только за счет </w:t>
      </w:r>
      <w:r>
        <w:t xml:space="preserve">бюджетных </w:t>
      </w:r>
      <w:r w:rsidRPr="00B33E79">
        <w:t xml:space="preserve">средств </w:t>
      </w:r>
      <w:r>
        <w:t xml:space="preserve">является маловероятным, </w:t>
      </w:r>
      <w:r w:rsidRPr="009C50B5">
        <w:t>инвесторы-застройщики многоквартирных домов</w:t>
      </w:r>
      <w:r>
        <w:t xml:space="preserve"> также</w:t>
      </w:r>
      <w:r w:rsidRPr="009C50B5">
        <w:t xml:space="preserve"> не заинтересованы в р</w:t>
      </w:r>
      <w:r>
        <w:t>еновации существующей застройки и</w:t>
      </w:r>
      <w:r w:rsidRPr="009C50B5">
        <w:t xml:space="preserve"> комплексном освоении новых территорий </w:t>
      </w:r>
      <w:r>
        <w:t>с целью жилищного строительства.</w:t>
      </w:r>
      <w:r w:rsidRPr="009C50B5">
        <w:t xml:space="preserve"> </w:t>
      </w:r>
      <w:r>
        <w:t>Ключевыми факторами, препятствующими развитию жилищного строительства на территории района,</w:t>
      </w:r>
      <w:r w:rsidRPr="009C50B5">
        <w:t xml:space="preserve"> </w:t>
      </w:r>
      <w:r>
        <w:t>являются</w:t>
      </w:r>
      <w:r w:rsidRPr="009C50B5">
        <w:t xml:space="preserve"> </w:t>
      </w:r>
      <w:r>
        <w:t>недостаток собственных</w:t>
      </w:r>
      <w:r w:rsidRPr="009C50B5">
        <w:t xml:space="preserve"> средств у инвесторов и населения, отсутствие близких точек реализации дешевых строительных материалов, </w:t>
      </w:r>
      <w:r>
        <w:t>а также невозможность</w:t>
      </w:r>
      <w:r w:rsidRPr="009C50B5">
        <w:t xml:space="preserve"> освоения инвестиционных площадок на территориях поселений, предполагавших социальный и экономический рост.</w:t>
      </w:r>
    </w:p>
    <w:p w14:paraId="2AC5EFFB" w14:textId="77777777" w:rsidR="0071424E" w:rsidRDefault="0071424E" w:rsidP="00A93D7F">
      <w:r>
        <w:t>В настоящий момент отмечается нехватка</w:t>
      </w:r>
      <w:r w:rsidRPr="009C50B5">
        <w:t xml:space="preserve"> земельных участков для строительства многоквартирных жилых домов: </w:t>
      </w:r>
      <w:r>
        <w:t xml:space="preserve">на ближайшую перспективу для жилищной застройки подготовлены </w:t>
      </w:r>
      <w:r w:rsidRPr="009C50B5">
        <w:t>в 2018 году – 5 участков,</w:t>
      </w:r>
      <w:r>
        <w:t xml:space="preserve"> в 2019 – 2 участка, в 2020 – 2 участка, и</w:t>
      </w:r>
      <w:r w:rsidRPr="009C50B5">
        <w:t xml:space="preserve">з них только 5 участков обеспечены </w:t>
      </w:r>
      <w:r>
        <w:t xml:space="preserve">необходимой </w:t>
      </w:r>
      <w:r w:rsidRPr="009C50B5">
        <w:t>инженерной инфраструктурой.</w:t>
      </w:r>
      <w:r>
        <w:t xml:space="preserve"> Барьером также</w:t>
      </w:r>
      <w:r w:rsidRPr="009C50B5">
        <w:t xml:space="preserve"> </w:t>
      </w:r>
      <w:r>
        <w:t>является необходимость согласования</w:t>
      </w:r>
      <w:r w:rsidRPr="009C50B5">
        <w:t xml:space="preserve"> документов территориального планирования с федеральными и рег</w:t>
      </w:r>
      <w:r>
        <w:t xml:space="preserve">иональными ведомствами в целях </w:t>
      </w:r>
      <w:r w:rsidRPr="009C50B5">
        <w:t>измен</w:t>
      </w:r>
      <w:r>
        <w:t xml:space="preserve">ения границ населенных пунктов и изменения категории земельных участков, </w:t>
      </w:r>
      <w:r w:rsidRPr="009C50B5">
        <w:t xml:space="preserve">необходимых для </w:t>
      </w:r>
      <w:r>
        <w:t>реализации проектов</w:t>
      </w:r>
      <w:r w:rsidRPr="009C50B5">
        <w:t xml:space="preserve"> </w:t>
      </w:r>
      <w:r>
        <w:t xml:space="preserve">жилищного строительства на территории </w:t>
      </w:r>
      <w:r w:rsidRPr="009C50B5">
        <w:t>поселений</w:t>
      </w:r>
      <w:r>
        <w:t>,</w:t>
      </w:r>
      <w:r w:rsidRPr="009C50B5">
        <w:t xml:space="preserve"> отнесённых к лесным участкам земель лесного фонда. </w:t>
      </w:r>
    </w:p>
    <w:p w14:paraId="069442FC" w14:textId="77777777" w:rsidR="0071424E" w:rsidRPr="00E26DA2" w:rsidRDefault="0071424E" w:rsidP="00A93D7F">
      <w:r w:rsidRPr="00B05265">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ввиду недостаточного финансирования мероприятий по благоустройству в предыдущие годы. Ключевыми проблемами в сфере благоустройства дворовых территорий являются значительный износ асфальтобетонного покрытия внутриквартальных проездов, несоответствие количества автомобильных парковок объективной потребности жильцов многоквартирных домов, а также низкое качество оборудования детских и спортивных площадок и недостаток зеленых насаждений на дворовых территориях. Повышение уровня благоустройства дворовых территорий и мест общего пользования планируется осуществить в рамках реализации муниципальной программы</w:t>
      </w:r>
      <w:r>
        <w:t xml:space="preserve"> </w:t>
      </w:r>
      <w:r w:rsidRPr="00B05265">
        <w:t xml:space="preserve">«Формирование </w:t>
      </w:r>
      <w:r w:rsidRPr="00B05265">
        <w:lastRenderedPageBreak/>
        <w:t>современной городской среды в муниципальном образовании Нефтеюганский район на 2018-2022 годы»</w:t>
      </w:r>
      <w:r>
        <w:t>, принятой в 2017 </w:t>
      </w:r>
      <w:r w:rsidRPr="00B05265">
        <w:t>г.</w:t>
      </w:r>
      <w:r>
        <w:t>, а также муниципальных программ поселений района.</w:t>
      </w:r>
    </w:p>
    <w:p w14:paraId="00DA6603" w14:textId="77777777" w:rsidR="0071424E" w:rsidRPr="00625217" w:rsidRDefault="0071424E" w:rsidP="00A93D7F">
      <w:pPr>
        <w:rPr>
          <w:color w:val="AEAAAA" w:themeColor="background2" w:themeShade="BF"/>
        </w:rPr>
      </w:pPr>
      <w:r w:rsidRPr="00BD0435">
        <w:t xml:space="preserve">Указанные выше факторы и риски затрудняют выполнение показателей действующей редакции Стратегии социально-экономического развития Нефтеюганского района до 2030 года, в частности, показателя, характеризующего объем ввода жилья на территории района. Выполнение показателя напрямую связано с эффективностью реализации органами местного самоуправления программ комплексного развития систем коммунальной, инженерной и социальной </w:t>
      </w:r>
      <w:r w:rsidRPr="00625217">
        <w:t xml:space="preserve">инфраструктуры. </w:t>
      </w:r>
    </w:p>
    <w:p w14:paraId="558837DD" w14:textId="77777777" w:rsidR="0071424E" w:rsidRDefault="0071424E" w:rsidP="00A93D7F">
      <w:r w:rsidRPr="00BD0435">
        <w:t>В целях устранения ограничений развития жилищно-коммунальной сферы используется программно-целевой метод – на территории района реализуется муниципальная программа «Развитие жилищно-коммунального комплекса и повышение энергетической эффективности в муниципальном образовании Нефтеюганский район на 2017-2020 годы». Программа направлена, в первую очередь, на развитие материально-технической базы и внедрение энергосберегающих технологий в жилищно-коммунальной отрасли.</w:t>
      </w:r>
      <w:r>
        <w:t xml:space="preserve"> </w:t>
      </w:r>
    </w:p>
    <w:p w14:paraId="65D3EAA8" w14:textId="77777777" w:rsidR="0071424E" w:rsidRDefault="0071424E" w:rsidP="00A93D7F">
      <w:r>
        <w:t>Указанная муниципальная программа признана результативной, плановые значение были достигнуты или перевыполнены по 82,4% целевых показателей. В частности, были достигнуты показатели удельного веса жилищного фонда, обеспеченного всеми видами благоустройства (88,95% общей площади жилищного фонда района), а также целевые показатели в области энергосбережения и повышения энергетической эффективности. По итогам реализации программы в 2016 г. не были достигнуты целевые значения по следующим показателям:</w:t>
      </w:r>
    </w:p>
    <w:p w14:paraId="0DDE1E61" w14:textId="77777777" w:rsidR="0071424E" w:rsidRPr="00FD2787" w:rsidRDefault="0071424E" w:rsidP="00A93D7F">
      <w:pPr>
        <w:pStyle w:val="a0"/>
        <w:numPr>
          <w:ilvl w:val="0"/>
          <w:numId w:val="8"/>
        </w:numPr>
      </w:pPr>
      <w:r w:rsidRPr="00FD2787">
        <w:t>показатель количества отремонтированных инженерных сетей водоснабжения и водоотведения ввиду отсутствия регистрации в Госреестре объектов инженерной инфраструктуры в качестве объектов муниципальной собственности, в связи с чем не был также достигнут нормативный показатель капитального ремонта ветхих инженерных сетей водоснабжения и водоотведения;</w:t>
      </w:r>
    </w:p>
    <w:p w14:paraId="1D401F92" w14:textId="77777777" w:rsidR="0071424E" w:rsidRPr="00FD2787" w:rsidRDefault="0071424E" w:rsidP="00A93D7F">
      <w:pPr>
        <w:pStyle w:val="a0"/>
        <w:numPr>
          <w:ilvl w:val="0"/>
          <w:numId w:val="8"/>
        </w:numPr>
      </w:pPr>
      <w:r w:rsidRPr="00FD2787">
        <w:t>показатель удельного веса капитально отремонтированных многоквартирных домов;</w:t>
      </w:r>
    </w:p>
    <w:p w14:paraId="4007DD96" w14:textId="77777777" w:rsidR="0071424E" w:rsidRDefault="0071424E" w:rsidP="00A93D7F">
      <w:pPr>
        <w:pStyle w:val="a0"/>
        <w:numPr>
          <w:ilvl w:val="0"/>
          <w:numId w:val="8"/>
        </w:numPr>
        <w:rPr>
          <w:color w:val="000000" w:themeColor="text1"/>
        </w:rPr>
      </w:pPr>
      <w:r w:rsidRPr="00FD2787">
        <w:rPr>
          <w:color w:val="000000" w:themeColor="text1"/>
        </w:rPr>
        <w:t xml:space="preserve">показатель удельного веса объектов инженерной инфраструктуры, </w:t>
      </w:r>
      <w:r w:rsidRPr="00FD2787">
        <w:t xml:space="preserve">переданных органами местного самоуправления негосударственным (немуниципальным) организациям в концессию или долгосрочную аренду, в общем числе объектов, </w:t>
      </w:r>
      <w:r w:rsidRPr="00FD2787">
        <w:rPr>
          <w:color w:val="000000" w:themeColor="text1"/>
        </w:rPr>
        <w:t>в отношении которых планируется заключение концессионного соглашения.</w:t>
      </w:r>
    </w:p>
    <w:p w14:paraId="5523CFD2" w14:textId="77777777" w:rsidR="0071424E" w:rsidRPr="0071424E" w:rsidRDefault="0071424E" w:rsidP="00A93D7F"/>
    <w:p w14:paraId="419DEF2B" w14:textId="54944493" w:rsidR="00042475" w:rsidRPr="00653D12" w:rsidRDefault="00042475" w:rsidP="00653D12">
      <w:pPr>
        <w:jc w:val="center"/>
        <w:rPr>
          <w:b/>
        </w:rPr>
      </w:pPr>
      <w:r w:rsidRPr="00653D12">
        <w:rPr>
          <w:b/>
        </w:rPr>
        <w:t>Транспорт</w:t>
      </w:r>
      <w:r w:rsidR="00F84B7A" w:rsidRPr="00653D12">
        <w:rPr>
          <w:b/>
        </w:rPr>
        <w:t>ная инфраструктура</w:t>
      </w:r>
    </w:p>
    <w:p w14:paraId="00789777" w14:textId="77777777" w:rsidR="00240F38" w:rsidRDefault="00240F38" w:rsidP="00A93D7F"/>
    <w:p w14:paraId="2FEDD660" w14:textId="77777777" w:rsidR="008B192B" w:rsidRDefault="008B192B" w:rsidP="00A93D7F">
      <w:r w:rsidRPr="00F9246F">
        <w:t>Транспортный комплекс</w:t>
      </w:r>
      <w:r w:rsidRPr="00C92626">
        <w:t xml:space="preserve"> Нефтеюганского муниципального района сформирован преимущественно автомобильным и железнодорожным транспортом и включает в себя сеть автомобильных дорог различного значения, железнодорожные пути Свердловской железной дороги ОАО «Российские железные дороги», а также организации, осуществляющие деятельность по перевозке пассажиров, грузов и обслуживанию транспортного комплекса. Пространственное развитие транспортной сети характеризуется </w:t>
      </w:r>
      <w:r w:rsidRPr="001E3E47">
        <w:t>размещением основных производительных сил, в частности, предприятий нефтедобывающей отрасли в северной части района.</w:t>
      </w:r>
    </w:p>
    <w:p w14:paraId="5245E2BC" w14:textId="77777777" w:rsidR="008B192B" w:rsidRPr="001E3E47" w:rsidRDefault="008B192B" w:rsidP="00A93D7F">
      <w:r w:rsidRPr="00656013">
        <w:t xml:space="preserve">В целом окружная сеть автомобильных дорог округа характеризуется наибольшим </w:t>
      </w:r>
      <w:r>
        <w:t>развитием и плотностью в треуго</w:t>
      </w:r>
      <w:r w:rsidRPr="00656013">
        <w:t>льнике, образ</w:t>
      </w:r>
      <w:r>
        <w:t>уемом городами Нефтеюганск – Ко</w:t>
      </w:r>
      <w:r w:rsidRPr="00656013">
        <w:t>галым – Нижневартовск. Районы, лежащие к за</w:t>
      </w:r>
      <w:r>
        <w:t>паду от г. Нефтеюганска, связаны автомагистралью «Пыть-</w:t>
      </w:r>
      <w:r w:rsidRPr="00656013">
        <w:t>Ях</w:t>
      </w:r>
      <w:r>
        <w:t xml:space="preserve"> – Ханты-Мансийск – Советский</w:t>
      </w:r>
      <w:r w:rsidRPr="00656013">
        <w:t xml:space="preserve">» (параллельно р. Оби) и дорогой «Советский </w:t>
      </w:r>
      <w:r>
        <w:t xml:space="preserve">– </w:t>
      </w:r>
      <w:r>
        <w:lastRenderedPageBreak/>
        <w:t>Нягань – Приобье – Белоярский»</w:t>
      </w:r>
      <w:r w:rsidRPr="00656013">
        <w:t>.</w:t>
      </w:r>
      <w:r w:rsidRPr="00700868">
        <w:t xml:space="preserve"> </w:t>
      </w:r>
      <w:r w:rsidRPr="001E3E47">
        <w:t>По территории Нефтеюганского муниц</w:t>
      </w:r>
      <w:r>
        <w:t>и</w:t>
      </w:r>
      <w:r w:rsidRPr="001E3E47">
        <w:t>пального района также проходят 2</w:t>
      </w:r>
      <w:r>
        <w:t> </w:t>
      </w:r>
      <w:r w:rsidRPr="001E3E47">
        <w:t xml:space="preserve">общероссийских </w:t>
      </w:r>
      <w:r>
        <w:t xml:space="preserve">транспортных </w:t>
      </w:r>
      <w:r w:rsidRPr="001E3E47">
        <w:t xml:space="preserve">коридора: 17 меридиальный коридор «Тюмень – Сургут – Новый Уренгой – Надым – Салехард» и 13 широтный коридор «Пермь – Серов – Ханты-Мансийск – Нефтеюганск – Сургут – Нефтеюганск – Томск». </w:t>
      </w:r>
    </w:p>
    <w:p w14:paraId="5E183989" w14:textId="77777777" w:rsidR="008B192B" w:rsidRPr="001E3E47" w:rsidRDefault="008B192B" w:rsidP="00A93D7F">
      <w:r w:rsidRPr="001E3E47">
        <w:t xml:space="preserve">Общая протяженность автомобильных дорог общего пользования в Нефтеюганском районе по состоянию на 01.01.2017 г. составила 560,1 км, </w:t>
      </w:r>
      <w:r>
        <w:t>из них</w:t>
      </w:r>
      <w:r w:rsidRPr="001E3E47">
        <w:t>:</w:t>
      </w:r>
    </w:p>
    <w:p w14:paraId="6264248B" w14:textId="77777777" w:rsidR="008B192B" w:rsidRPr="001E3E47" w:rsidRDefault="008B192B" w:rsidP="00A93D7F">
      <w:pPr>
        <w:pStyle w:val="a0"/>
        <w:numPr>
          <w:ilvl w:val="0"/>
          <w:numId w:val="9"/>
        </w:numPr>
      </w:pPr>
      <w:r>
        <w:t>автомобильные</w:t>
      </w:r>
      <w:r w:rsidRPr="001E3E47">
        <w:t xml:space="preserve"> дорог</w:t>
      </w:r>
      <w:r>
        <w:t>и</w:t>
      </w:r>
      <w:r w:rsidRPr="001E3E47">
        <w:t xml:space="preserve"> федерального значения – 296,1 км, </w:t>
      </w:r>
      <w:r>
        <w:t>в том числе,</w:t>
      </w:r>
      <w:r w:rsidRPr="001E3E47">
        <w:t xml:space="preserve"> автомобильная трасса федерального значения Р-404 Тюмень-Тобольск-Ханты-Мансийск, соединяющая </w:t>
      </w:r>
      <w:r w:rsidRPr="001E3E47">
        <w:rPr>
          <w:shd w:val="clear" w:color="auto" w:fill="FFFFFF"/>
        </w:rPr>
        <w:t>Тюменскую область</w:t>
      </w:r>
      <w:r w:rsidRPr="001E3E47">
        <w:rPr>
          <w:rStyle w:val="apple-converted-space"/>
          <w:shd w:val="clear" w:color="auto" w:fill="FFFFFF"/>
        </w:rPr>
        <w:t xml:space="preserve"> </w:t>
      </w:r>
      <w:r w:rsidRPr="001E3E47">
        <w:rPr>
          <w:shd w:val="clear" w:color="auto" w:fill="FFFFFF"/>
        </w:rPr>
        <w:t>с</w:t>
      </w:r>
      <w:r w:rsidRPr="001E3E47">
        <w:rPr>
          <w:rStyle w:val="apple-converted-space"/>
          <w:shd w:val="clear" w:color="auto" w:fill="FFFFFF"/>
        </w:rPr>
        <w:t xml:space="preserve"> </w:t>
      </w:r>
      <w:r w:rsidRPr="001E3E47">
        <w:t>Ханты-Мансийским автономным округом-Югра (общей протяженностью 238,5 км);</w:t>
      </w:r>
    </w:p>
    <w:p w14:paraId="36DAD84A" w14:textId="77777777" w:rsidR="008B192B" w:rsidRPr="001E3E47" w:rsidRDefault="008B192B" w:rsidP="00A93D7F">
      <w:pPr>
        <w:pStyle w:val="a0"/>
        <w:numPr>
          <w:ilvl w:val="0"/>
          <w:numId w:val="9"/>
        </w:numPr>
      </w:pPr>
      <w:r>
        <w:t>автомобильные</w:t>
      </w:r>
      <w:r w:rsidRPr="001E3E47">
        <w:t xml:space="preserve"> дорог</w:t>
      </w:r>
      <w:r>
        <w:t>и</w:t>
      </w:r>
      <w:r w:rsidRPr="001E3E47">
        <w:t xml:space="preserve"> регионального и межмуниципального значения – 119,1 км, обе</w:t>
      </w:r>
      <w:r>
        <w:t>спечивающие</w:t>
      </w:r>
      <w:r w:rsidRPr="001E3E47">
        <w:t xml:space="preserve"> подъезд к поселениям Лемпино, Пойковский, Чеускино, Сингапай, Куть-Ях, Сивыс-Ях, Салым;</w:t>
      </w:r>
    </w:p>
    <w:p w14:paraId="04A86907" w14:textId="77777777" w:rsidR="008B192B" w:rsidRPr="001E3E47" w:rsidRDefault="008B192B" w:rsidP="00A93D7F">
      <w:pPr>
        <w:pStyle w:val="a0"/>
        <w:numPr>
          <w:ilvl w:val="0"/>
          <w:numId w:val="9"/>
        </w:numPr>
      </w:pPr>
      <w:r>
        <w:t>автомобильные</w:t>
      </w:r>
      <w:r w:rsidRPr="001E3E47">
        <w:t xml:space="preserve"> дорог</w:t>
      </w:r>
      <w:r>
        <w:t>и</w:t>
      </w:r>
      <w:r w:rsidRPr="001E3E47">
        <w:t xml:space="preserve"> местного значения, расположенные в границах поселений района</w:t>
      </w:r>
      <w:r>
        <w:t>,</w:t>
      </w:r>
      <w:r w:rsidRPr="001E3E47">
        <w:t xml:space="preserve"> и подъездные автодороги к поселениям Усть-Юган, Юганская Обь и Каркатеевы</w:t>
      </w:r>
      <w:r>
        <w:t>, общей протя</w:t>
      </w:r>
      <w:r w:rsidRPr="001E3E47">
        <w:t>женностью – 38,8 км</w:t>
      </w:r>
      <w:r>
        <w:t>;</w:t>
      </w:r>
    </w:p>
    <w:p w14:paraId="4BD1D25C" w14:textId="77777777" w:rsidR="008B192B" w:rsidRPr="001E3E47" w:rsidRDefault="008B192B" w:rsidP="00A93D7F">
      <w:pPr>
        <w:pStyle w:val="a0"/>
        <w:numPr>
          <w:ilvl w:val="0"/>
          <w:numId w:val="9"/>
        </w:numPr>
      </w:pPr>
      <w:r w:rsidRPr="001E3E47">
        <w:t>улично-дорожная</w:t>
      </w:r>
      <w:r>
        <w:t xml:space="preserve"> сеть</w:t>
      </w:r>
      <w:r w:rsidRPr="001E3E47">
        <w:t xml:space="preserve"> поселений – 106,1 км.</w:t>
      </w:r>
    </w:p>
    <w:p w14:paraId="4B8002B1" w14:textId="77777777" w:rsidR="008B192B" w:rsidRPr="0036267A" w:rsidRDefault="008B192B" w:rsidP="00A93D7F">
      <w:r>
        <w:t>П</w:t>
      </w:r>
      <w:r w:rsidRPr="007177B1">
        <w:t xml:space="preserve">о уровню развития наземной транспортной сети Нефтеюганский район </w:t>
      </w:r>
      <w:r>
        <w:t xml:space="preserve">значительно </w:t>
      </w:r>
      <w:r w:rsidRPr="0036267A">
        <w:t xml:space="preserve">опережает средние показатели по Ханты-Мансийскому АО: по состоянию на 2016 г. плотность автомобильных дорог общего пользования с твердым покрытием на 1 000 кв. м территории муниципального района составила 22,5 км (в среднем по ХМАО – 10,8 км, по России – 62 км). Транспортная система Нефтеюганского района также характеризуется высокой долей автомобильных дорог общего пользования с твердым покрытием: в 2016 г. их удельный вес в общей протяженности автомобильных дорог общего пользования составил 98,8% (в среднем по ХМАО – 83,7 км, по России – 70,3 км). Все населенные пункты Нефтеюганского района обеспечены связью по автомобильным дорогам с твердым покрытием с опорной транспортной сетью, а также ежедневным круглогодичным регулярным автобусным сообщением с административным центром района. </w:t>
      </w:r>
    </w:p>
    <w:p w14:paraId="08F41007" w14:textId="77777777" w:rsidR="008B192B" w:rsidRDefault="008B192B" w:rsidP="00A93D7F">
      <w:r w:rsidRPr="0036267A">
        <w:t xml:space="preserve">Промышленная направленность развития экономики Нефтеюганского района определяет постоянное увеличение в составе транспортного парка автомобилей большой грузоподъемностью, рост интенсивности движения транспорта и возрастающие нагрузки на автомобильные дороги. </w:t>
      </w:r>
      <w:r w:rsidRPr="0036267A">
        <w:rPr>
          <w:color w:val="000000"/>
        </w:rPr>
        <w:t xml:space="preserve">В структуре грузовых перевозок лидирует автомобильный транспорт, </w:t>
      </w:r>
      <w:r w:rsidRPr="0036267A">
        <w:rPr>
          <w:rFonts w:eastAsia="Calibri"/>
        </w:rPr>
        <w:t>по итогам</w:t>
      </w:r>
      <w:r>
        <w:rPr>
          <w:rFonts w:eastAsia="Calibri"/>
        </w:rPr>
        <w:t xml:space="preserve"> 2016 </w:t>
      </w:r>
      <w:r w:rsidRPr="0036267A">
        <w:rPr>
          <w:rFonts w:eastAsia="Calibri"/>
        </w:rPr>
        <w:t>г. грузооборот организаций</w:t>
      </w:r>
      <w:r>
        <w:rPr>
          <w:rFonts w:eastAsia="Calibri"/>
        </w:rPr>
        <w:t>, осуществляющих грузовые автомобильные перевозки,</w:t>
      </w:r>
      <w:r w:rsidRPr="0036267A">
        <w:rPr>
          <w:rFonts w:eastAsia="Calibri"/>
        </w:rPr>
        <w:t xml:space="preserve"> составил 89 872,1 тыс. т-км, рост показателя по отношению к 2015 г. составил 20,6% в связи </w:t>
      </w:r>
      <w:r w:rsidRPr="0036267A">
        <w:t>с активной разработкой Омбинского месторождения в районе сельского поселения Усть-Юган. В то же время, доля Нефтеюганского района в суммарном грузообороте Ханты-Мансийского АО по итогам 2016 г. составила 1,8%</w:t>
      </w:r>
      <w:r>
        <w:t>.</w:t>
      </w:r>
    </w:p>
    <w:p w14:paraId="16179A36" w14:textId="77777777" w:rsidR="008B192B" w:rsidRDefault="008B192B" w:rsidP="00A93D7F">
      <w:pPr>
        <w:rPr>
          <w:rFonts w:ascii="-webkit-standard" w:hAnsi="-webkit-standard"/>
          <w:color w:val="000000"/>
        </w:rPr>
      </w:pPr>
      <w:r w:rsidRPr="00C23F06">
        <w:t>Перевозку пассажиров автомобильным транспортом в Нефтеюганском районе выполняют муниципальное унитарное предприятие «Торгово-транспортное предприятие» (внутригородские автомобильные (автобусные) пассажирские перевозки, подчиняющиеся расписанию) и индивидуальные предприниматели. По состоянию на начало 2017 г. все населенные пункты Нефтеюганского муниципального района относятся к территориям с высокой (наличие двух или более видов общественного транспорта круглогодичного действия) или средней степенью транспортной доступности (наличие одного вида общественного транспорта круглогодичного действия и одного вида транспорта сезонного действия).</w:t>
      </w:r>
      <w:r>
        <w:t xml:space="preserve"> В районе организовано 8 </w:t>
      </w:r>
      <w:r w:rsidRPr="00C23F06">
        <w:t xml:space="preserve">межмуниципальных и пригородных маршрутов, а также </w:t>
      </w:r>
      <w:r>
        <w:t xml:space="preserve">4 </w:t>
      </w:r>
      <w:r w:rsidRPr="00C23F06">
        <w:t xml:space="preserve">внутрипоселковых маршрута в городском поселении Пойковский и сельском поселении Салым. </w:t>
      </w:r>
      <w:r>
        <w:t xml:space="preserve">Автобусное сообщение также </w:t>
      </w:r>
      <w:r>
        <w:rPr>
          <w:rFonts w:ascii="-webkit-standard" w:hAnsi="-webkit-standard"/>
          <w:color w:val="000000"/>
        </w:rPr>
        <w:t>налажено с городами Сургут, Ханты-Мансийск, Тюмень и др.</w:t>
      </w:r>
    </w:p>
    <w:p w14:paraId="3C634EF1" w14:textId="77777777" w:rsidR="008C0492" w:rsidRDefault="008B192B" w:rsidP="008C0492">
      <w:r w:rsidRPr="00F572CB">
        <w:lastRenderedPageBreak/>
        <w:t>Основные автомобильные дороги обеспечены необ</w:t>
      </w:r>
      <w:r>
        <w:t>ходимой</w:t>
      </w:r>
      <w:r w:rsidRPr="00F572CB">
        <w:t xml:space="preserve"> инфраструктурой придорожного сервиса, на территории района расположены 8 </w:t>
      </w:r>
      <w:r>
        <w:t>авто</w:t>
      </w:r>
      <w:r w:rsidRPr="00F572CB">
        <w:t>заправочных станций (АЗС), СТО, площадки отдыха и предприятия общественного питания.</w:t>
      </w:r>
    </w:p>
    <w:p w14:paraId="35CB92EE" w14:textId="48D84539" w:rsidR="008B192B" w:rsidRDefault="008B192B" w:rsidP="008C0492">
      <w:r w:rsidRPr="00903A22">
        <w:t xml:space="preserve">На территории района реализуется муниципальная программа «Развитие транспортной системы Нефтеюганского района на период 2017-2020 годы», направленная на восстановление технических характеристик автомобильных дорог местного значения, обеспечение их круглогодичного содержания, а также обновление автобусного парка, работающего на внутрипоселковых маршрутах. По итогам 2016 г. плановые значения были достигнуты по всем показателям реализации программы: приведено в нормативное состояние 7,8 км автодорог общего пользования местного значения, таким образом, протяженность местных автомобильных дорог, не соответствующих нормативным требованиям, снизилась </w:t>
      </w:r>
      <w:r>
        <w:t xml:space="preserve">с 5,5 </w:t>
      </w:r>
      <w:r w:rsidRPr="00903A22">
        <w:t>до 5%; обеспечено бесперебойное круглогодичное транспортное сообщение между сельскими населенными пунктами и сетью дорог общего пользования.</w:t>
      </w:r>
      <w:r>
        <w:t xml:space="preserve"> Ключевой задачей на срок реализации программы остается снижение износа автобусного парка транспортных организаций, осуществляющих перевозки пассажиров с 75% до 65% к 2020 г.</w:t>
      </w:r>
    </w:p>
    <w:p w14:paraId="37A07689" w14:textId="77777777" w:rsidR="004F3AEE" w:rsidRDefault="008B192B" w:rsidP="00A93D7F">
      <w:pPr>
        <w:rPr>
          <w:rFonts w:ascii="-webkit-standard" w:hAnsi="-webkit-standard"/>
          <w:color w:val="000000"/>
        </w:rPr>
      </w:pPr>
      <w:r w:rsidRPr="00FB6AAC">
        <w:t>Через населенные пункты Салым, Куть-Ях, Усть-Юган, Юганская Обь проходят железнодорожные пути Свердловской железной дороги ОАО «Российские железные дороги» протяженностью 186 км. Ж</w:t>
      </w:r>
      <w:r>
        <w:t>елезнодорожная магистраль</w:t>
      </w:r>
      <w:r w:rsidRPr="00FB6AAC">
        <w:t xml:space="preserve"> </w:t>
      </w:r>
      <w:r>
        <w:t>обеспечивает транспортно-экономическую связь Ханты-Мансийского автономного</w:t>
      </w:r>
      <w:r w:rsidRPr="00FB6AAC">
        <w:t xml:space="preserve"> округ</w:t>
      </w:r>
      <w:r>
        <w:t>а с Ямало-Ненецким автономным</w:t>
      </w:r>
      <w:r w:rsidRPr="00FB6AAC">
        <w:t xml:space="preserve"> округ</w:t>
      </w:r>
      <w:r>
        <w:t>ом и</w:t>
      </w:r>
      <w:r w:rsidRPr="00FB6AAC">
        <w:t xml:space="preserve"> с </w:t>
      </w:r>
      <w:r>
        <w:t>югом Тюменской области</w:t>
      </w:r>
      <w:r w:rsidRPr="00FB6AAC">
        <w:t xml:space="preserve">. </w:t>
      </w:r>
      <w:r>
        <w:rPr>
          <w:rFonts w:ascii="-webkit-standard" w:hAnsi="-webkit-standard"/>
          <w:color w:val="000000"/>
        </w:rPr>
        <w:t xml:space="preserve">Основными железнодорожными станциями на территории Нефтеюганского района являются Островная, Юганская Обь, Тангинский, Усть-Юган, Пыть-Ях, Игль, Юнг-Ях, Кетм-Игый, Куть-Ях, Сивыс-Ях, Салым, Кинтус. </w:t>
      </w:r>
    </w:p>
    <w:p w14:paraId="5DD08F46" w14:textId="563FED1C" w:rsidR="008B192B" w:rsidRDefault="004F3AEE" w:rsidP="00A93D7F">
      <w:r w:rsidRPr="004F3AEE">
        <w:t>В рамках муниципальной программы реализуется строительство путепровода в районе железнодорожной станции и пешеходного моста – подъезд к части сельского поселения Салым, протяжённостью 0,744 км. В августе 2016 г. заключен муниципальный контракт на ПИР по строительству путепровода в районе железнодорожной станции и пешеходного моста в сп. Салым, выполнен I этап работ.</w:t>
      </w:r>
    </w:p>
    <w:p w14:paraId="4EB3FD0F" w14:textId="77777777" w:rsidR="008737CB" w:rsidRDefault="00770170" w:rsidP="00A93D7F">
      <w:r w:rsidRPr="00770170">
        <w:t>ОАО «Российские железные дороги» начато строительство новых железнодорожных линий:</w:t>
      </w:r>
    </w:p>
    <w:p w14:paraId="195BA3FA" w14:textId="77777777" w:rsidR="008737CB" w:rsidRDefault="00770170" w:rsidP="00A93D7F">
      <w:pPr>
        <w:pStyle w:val="a0"/>
        <w:numPr>
          <w:ilvl w:val="0"/>
          <w:numId w:val="51"/>
        </w:numPr>
      </w:pPr>
      <w:r w:rsidRPr="00770170">
        <w:t>строительство дополнительных вторых железнодорожных путей общего пользования «Тобольск – Пыть-Ях», протяженностью в границах района 149,3 км и «Пыть-Ях – Сургут», протяженностью в границах района 31,4 км;</w:t>
      </w:r>
    </w:p>
    <w:p w14:paraId="037A1A8B" w14:textId="77777777" w:rsidR="008737CB" w:rsidRDefault="00770170" w:rsidP="00A93D7F">
      <w:pPr>
        <w:pStyle w:val="a0"/>
        <w:numPr>
          <w:ilvl w:val="0"/>
          <w:numId w:val="51"/>
        </w:numPr>
      </w:pPr>
      <w:r w:rsidRPr="00770170">
        <w:t>строительство перегона «Ульт-Ягун – Приобье», протяженностью в границах района 125,81 км;</w:t>
      </w:r>
    </w:p>
    <w:p w14:paraId="6454C241" w14:textId="77777777" w:rsidR="008737CB" w:rsidRDefault="00770170" w:rsidP="00A93D7F">
      <w:pPr>
        <w:pStyle w:val="a0"/>
        <w:numPr>
          <w:ilvl w:val="0"/>
          <w:numId w:val="51"/>
        </w:numPr>
      </w:pPr>
      <w:r w:rsidRPr="00770170">
        <w:t>«Ханты-Мансийск – Салым», протяженностью в границах района 99,8 км;</w:t>
      </w:r>
    </w:p>
    <w:p w14:paraId="39EECC12" w14:textId="22AD1EDE" w:rsidR="00770170" w:rsidRPr="00770170" w:rsidRDefault="00770170" w:rsidP="00A93D7F">
      <w:pPr>
        <w:pStyle w:val="a0"/>
        <w:numPr>
          <w:ilvl w:val="0"/>
          <w:numId w:val="51"/>
        </w:numPr>
      </w:pPr>
      <w:r w:rsidRPr="00770170">
        <w:t>строительство вторых мостовых переходов через реки Обь, Большой Салым для повышения пропускной способности грузообразующей линии Тобольск – Сургут.</w:t>
      </w:r>
    </w:p>
    <w:p w14:paraId="22D7A974" w14:textId="55BA80A9" w:rsidR="00770170" w:rsidRPr="004F3AEE" w:rsidRDefault="00770170" w:rsidP="00A93D7F">
      <w:r w:rsidRPr="00770170">
        <w:t xml:space="preserve">После ввода в эксплуатацию новых участков, плотность железных дорог </w:t>
      </w:r>
      <w:r w:rsidR="00962116">
        <w:t xml:space="preserve">на </w:t>
      </w:r>
      <w:r w:rsidR="00962116" w:rsidRPr="00770170">
        <w:t xml:space="preserve">территории Нефтеюганского района </w:t>
      </w:r>
      <w:r w:rsidRPr="00770170">
        <w:t>составит 17,3 км на 1000 кв. км.</w:t>
      </w:r>
    </w:p>
    <w:p w14:paraId="25154FF7" w14:textId="77777777" w:rsidR="008B192B" w:rsidRDefault="008B192B" w:rsidP="00A93D7F">
      <w:r w:rsidRPr="00FB6AAC">
        <w:rPr>
          <w:rFonts w:eastAsia="Calibri"/>
        </w:rPr>
        <w:t xml:space="preserve">Прочими </w:t>
      </w:r>
      <w:r w:rsidRPr="00FB6AAC">
        <w:t xml:space="preserve">видами транспорта для передвижения пассажиров и транспортировки грузов между населенными пунктами внутри района являются речной транспорт (речное сообщение налажено в поселениях сп. Лемпино, гп. Пойковский, сп. Чеускино, сп. Каркатеевы и п. Юганская Обь), а также вертолетный транспорт (вертолетные площадки расположены в гп. Пойковский, сп. Салым, сп. Сентябрьский, п. Сивыс-Ях, </w:t>
      </w:r>
      <w:r>
        <w:t xml:space="preserve">КС-6, </w:t>
      </w:r>
      <w:r w:rsidRPr="00FB6AAC">
        <w:t xml:space="preserve">сп. Каркатеевы. </w:t>
      </w:r>
    </w:p>
    <w:p w14:paraId="6374BABA" w14:textId="77777777" w:rsidR="0037490E" w:rsidRDefault="0037490E" w:rsidP="00A93D7F"/>
    <w:p w14:paraId="2AC33DBE" w14:textId="77777777" w:rsidR="008B192B" w:rsidRPr="008C0492" w:rsidRDefault="008B192B" w:rsidP="008C0492">
      <w:pPr>
        <w:jc w:val="center"/>
        <w:rPr>
          <w:b/>
        </w:rPr>
      </w:pPr>
      <w:r w:rsidRPr="008C0492">
        <w:rPr>
          <w:b/>
        </w:rPr>
        <w:t>Информационно-коммуникационная инфраструктура</w:t>
      </w:r>
    </w:p>
    <w:p w14:paraId="2D574F2D" w14:textId="77777777" w:rsidR="00240F38" w:rsidRPr="00437F0B" w:rsidRDefault="00240F38" w:rsidP="00A93D7F"/>
    <w:p w14:paraId="1F24665C" w14:textId="77777777" w:rsidR="008B192B" w:rsidRDefault="008B192B" w:rsidP="00A93D7F">
      <w:r w:rsidRPr="00EA7880">
        <w:lastRenderedPageBreak/>
        <w:t>На территории Нефтеюганского района ос</w:t>
      </w:r>
      <w:r>
        <w:t>уществляют свою деятельность 34</w:t>
      </w:r>
      <w:r w:rsidRPr="00EA7880">
        <w:t xml:space="preserve"> оператора, предоставляющих услуги местной, внутризоновой, междугородной, международной телефонной связи, услуги телевидения и радиовещания, доступ </w:t>
      </w:r>
      <w:r w:rsidRPr="00EA7880">
        <w:br/>
        <w:t>в Интернет, 5 операторов сотовой связи и один оператор почтовой связи ФГУП «Почта России» (</w:t>
      </w:r>
      <w:r w:rsidRPr="00EA7880">
        <w:rPr>
          <w:rFonts w:eastAsia="Calibri"/>
        </w:rPr>
        <w:t>11 отделений почтовой связи в поселениях района)</w:t>
      </w:r>
      <w:r w:rsidRPr="00EA7880">
        <w:t>.</w:t>
      </w:r>
    </w:p>
    <w:p w14:paraId="5277A413" w14:textId="77777777" w:rsidR="008B192B" w:rsidRPr="00E35F72" w:rsidRDefault="008B192B" w:rsidP="00A93D7F">
      <w:r w:rsidRPr="00E35F72">
        <w:t>Доступ к сети Интернет предоставлен жителям всех поселений района: центры общественного доступа (ЦОД) к сети Интернет организованы в библиотеках поселений и во всех школах Нефтеюганского района, на рынке операторов сотовой связи жителям района доступен мобильный 4G Интернет. Реализация крупными операторами связи НРМУП «Электросвязи», ПАО «Ростелеком», ООО «Авантел», ООО «Нэт Бай Нэт Холдинг» и ООО «Интерком» проектов по строительству волоконно-оптических линий связи на территории района обеспечила повышение качества предоставляемых услуг связи и скорость доступа в сеть Интернет. На период реализации Стратегии планируется дальнейшее развитие сетей связи с использованием волоконно-оптических технологий и внедрение современного цифрового оборудования с использованием новейших информационных технологий.</w:t>
      </w:r>
    </w:p>
    <w:p w14:paraId="52DE3FC6" w14:textId="77777777" w:rsidR="008B192B" w:rsidRDefault="008B192B" w:rsidP="00A93D7F">
      <w:r>
        <w:t xml:space="preserve">На конец 2016 года телевизионным вещанием было охвачено 99,4% населения района. </w:t>
      </w:r>
      <w:r w:rsidRPr="00EA7880">
        <w:t xml:space="preserve">В рамках реализации задач федеральной целевой программы «Развитие </w:t>
      </w:r>
      <w:r w:rsidRPr="00EA7880">
        <w:br/>
        <w:t>телерадиовещания в Российской Федерации 2009-2018 годы» на территории Нефтеюганского района в п. Каркатеевы, п. Сингапай, с. Чеускино, п. Усть-Юган и п. Юганская Обь доступны без абонентской платы в цифровом качестве 20 российских общедоступных телеканалов; в гп. Пойковский, п. Салым, п. Сивыс-ях, п. Куть-ях и п. Сентябрьский по состоянию на 2017 г. доступны 10 телевизионных каналов.</w:t>
      </w:r>
    </w:p>
    <w:p w14:paraId="334164B9" w14:textId="77777777" w:rsidR="008B192B" w:rsidRDefault="008B192B" w:rsidP="00A93D7F">
      <w:r w:rsidRPr="00534119">
        <w:rPr>
          <w:rFonts w:eastAsia="Times New Roman"/>
          <w:color w:val="000000"/>
        </w:rPr>
        <w:t xml:space="preserve">В рамках муниципальной программы </w:t>
      </w:r>
      <w:r w:rsidRPr="00534119">
        <w:t>«Развитие информационного общества Нефтеюганского района на 2017-2020 годы» реализуются мероприятия, направленные на увеличение охвата населения услугами электронного муниципалитета и информационных систем с 50 до 70%. По итогам 2016 г. фактическая доля жителей Нефтеюганского района, использующих механизм получения государственных и муниципальных услуг в электронной форме, составил 56%, опередив плановый показатель</w:t>
      </w:r>
      <w:r>
        <w:t xml:space="preserve"> на 6 п.п</w:t>
      </w:r>
      <w:r w:rsidRPr="00534119">
        <w:t>.</w:t>
      </w:r>
      <w:r>
        <w:t xml:space="preserve"> </w:t>
      </w:r>
    </w:p>
    <w:p w14:paraId="6EC1E638" w14:textId="77777777" w:rsidR="008B192B" w:rsidRDefault="008B192B" w:rsidP="00A93D7F">
      <w:r w:rsidRPr="00E35F72">
        <w:t>Повышение качества и оперативности государственных и муниципальных услуг осуществляется за счет организации предоставления муниципальных услуг по принципу «одного окна» на базе «Многофункционального центра предоставления государственных и муниципальных услуг» («МФЦ»), а также внедрения систем межведомственного электронного взаимодействия (СМЭВ) и автоматизированных информационных систем.</w:t>
      </w:r>
    </w:p>
    <w:p w14:paraId="3A84128E" w14:textId="77777777" w:rsidR="002A44AA" w:rsidRDefault="002A44AA" w:rsidP="00A93D7F">
      <w:pPr>
        <w:rPr>
          <w:highlight w:val="green"/>
        </w:rPr>
      </w:pPr>
    </w:p>
    <w:p w14:paraId="595B0ECE" w14:textId="09854BDE" w:rsidR="0049291A" w:rsidRPr="008C0492" w:rsidRDefault="005E6220" w:rsidP="008C0492">
      <w:pPr>
        <w:jc w:val="center"/>
        <w:rPr>
          <w:b/>
        </w:rPr>
      </w:pPr>
      <w:r w:rsidRPr="008C0492">
        <w:rPr>
          <w:b/>
        </w:rPr>
        <w:t>Бюджет и муниципальный сектор экономики</w:t>
      </w:r>
    </w:p>
    <w:p w14:paraId="59BC2C72" w14:textId="77777777" w:rsidR="00240F38" w:rsidRPr="00016FAE" w:rsidRDefault="00240F38" w:rsidP="00A93D7F"/>
    <w:p w14:paraId="3F020C01" w14:textId="77777777" w:rsidR="006304BC" w:rsidRDefault="00FD2B41" w:rsidP="00A93D7F">
      <w:r>
        <w:t>По итогам</w:t>
      </w:r>
      <w:r w:rsidR="00827F13">
        <w:t xml:space="preserve"> 2016 </w:t>
      </w:r>
      <w:r>
        <w:t>г.</w:t>
      </w:r>
      <w:r w:rsidR="00827F13">
        <w:t xml:space="preserve"> </w:t>
      </w:r>
      <w:r w:rsidR="0020590D">
        <w:t>объем расходных обязательств бюджета</w:t>
      </w:r>
      <w:r w:rsidR="00A25B75">
        <w:t xml:space="preserve"> </w:t>
      </w:r>
      <w:r w:rsidR="002F45CB">
        <w:t xml:space="preserve">Нефтеюганского муниципального района </w:t>
      </w:r>
      <w:r w:rsidR="00B82D9E">
        <w:t>составил</w:t>
      </w:r>
      <w:r w:rsidR="00827F13" w:rsidRPr="005274D2">
        <w:t xml:space="preserve"> </w:t>
      </w:r>
      <w:r w:rsidR="002D7925">
        <w:t>5 305</w:t>
      </w:r>
      <w:r>
        <w:t>,</w:t>
      </w:r>
      <w:r w:rsidR="002D7925">
        <w:t>2</w:t>
      </w:r>
      <w:r w:rsidR="00FF1528">
        <w:t> млн. </w:t>
      </w:r>
      <w:r w:rsidR="00827F13" w:rsidRPr="005274D2">
        <w:t>рублей</w:t>
      </w:r>
      <w:r w:rsidR="00827F13">
        <w:t xml:space="preserve">, </w:t>
      </w:r>
      <w:r w:rsidR="008B1FB8">
        <w:t>в течение</w:t>
      </w:r>
      <w:r w:rsidR="00827F13">
        <w:t xml:space="preserve"> период</w:t>
      </w:r>
      <w:r w:rsidR="008B1FB8">
        <w:t>а</w:t>
      </w:r>
      <w:r w:rsidR="00827F13">
        <w:t xml:space="preserve"> с 201</w:t>
      </w:r>
      <w:r w:rsidR="008B1FB8">
        <w:t>4</w:t>
      </w:r>
      <w:r w:rsidR="00827F13">
        <w:t xml:space="preserve"> по 2016 гг. </w:t>
      </w:r>
      <w:r w:rsidR="008B1FB8">
        <w:t>среднегодовой рост расходных</w:t>
      </w:r>
      <w:r w:rsidR="00827F13">
        <w:t xml:space="preserve"> </w:t>
      </w:r>
      <w:r w:rsidR="008B1FB8">
        <w:t xml:space="preserve">обязательств </w:t>
      </w:r>
      <w:r w:rsidR="00827F13">
        <w:t xml:space="preserve">бюджета </w:t>
      </w:r>
      <w:r w:rsidR="00805A46">
        <w:t xml:space="preserve">составил </w:t>
      </w:r>
      <w:r w:rsidR="00B04AA4">
        <w:t>1</w:t>
      </w:r>
      <w:r w:rsidR="00805A46">
        <w:t>16,3%, рост расходов бюджета по отношению к 2014 г. составил 135,3%</w:t>
      </w:r>
      <w:r w:rsidR="00827F13">
        <w:t>. Основную долю расходных обязательств бюджета района составл</w:t>
      </w:r>
      <w:r w:rsidR="00037050">
        <w:t>яют расходы на социальную сферу</w:t>
      </w:r>
      <w:r w:rsidR="00827F13">
        <w:t xml:space="preserve"> </w:t>
      </w:r>
      <w:r w:rsidR="00037050">
        <w:t>(</w:t>
      </w:r>
      <w:r w:rsidR="00827F13">
        <w:t>образование, социальную политику и культуру</w:t>
      </w:r>
      <w:r w:rsidR="00037050">
        <w:t>), а также расходы на жилищно-коммунальную сферу и национальную экономику</w:t>
      </w:r>
      <w:r w:rsidR="00827F13">
        <w:t>.</w:t>
      </w:r>
      <w:r w:rsidR="000F2945">
        <w:t xml:space="preserve"> </w:t>
      </w:r>
    </w:p>
    <w:p w14:paraId="11E7E3B2" w14:textId="6E4B5D21" w:rsidR="0037490E" w:rsidRDefault="0037490E" w:rsidP="00A93D7F">
      <w:r>
        <w:t>За рассматриваемый период наблюдался рост расходных обязательств районного бюджета практически по всем статьям расходов, отдельно следует отметить рост расходов на охрану окружающей среды (более, чем в 80 раз по отношению к уровню 2014 г.), национальную экономику (рост на 94,5%), социальную политику (рост на 88,2%), национальную безопасность и правоохранительную деятельность (рост на 81,5%) и культуру (рост на 73%).</w:t>
      </w:r>
    </w:p>
    <w:p w14:paraId="76E52380" w14:textId="136BDA7F" w:rsidR="00F46641" w:rsidRDefault="00F46641" w:rsidP="00A93D7F"/>
    <w:p w14:paraId="13DAC42D" w14:textId="340BA4C3" w:rsidR="00392AFE" w:rsidRDefault="00392AFE" w:rsidP="00A93D7F">
      <w:pPr>
        <w:pStyle w:val="ac"/>
      </w:pPr>
      <w:r>
        <w:rPr>
          <w:noProof/>
        </w:rPr>
        <w:lastRenderedPageBreak/>
        <w:drawing>
          <wp:inline distT="0" distB="0" distL="0" distR="0" wp14:anchorId="3DBC9EF6" wp14:editId="47EE136B">
            <wp:extent cx="5258943" cy="2626868"/>
            <wp:effectExtent l="0" t="0" r="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2750CD1" w14:textId="15177C0B" w:rsidR="00FF16FE" w:rsidRDefault="00F46641" w:rsidP="00A93D7F">
      <w:pPr>
        <w:pStyle w:val="ac"/>
      </w:pPr>
      <w:r w:rsidRPr="00F46641">
        <w:t xml:space="preserve">Рисунок </w:t>
      </w:r>
      <w:fldSimple w:instr=" SEQ Рисунок \* ARABIC ">
        <w:r w:rsidR="00ED1BAA">
          <w:rPr>
            <w:noProof/>
          </w:rPr>
          <w:t>20</w:t>
        </w:r>
      </w:fldSimple>
      <w:r w:rsidRPr="00F46641">
        <w:t xml:space="preserve"> </w:t>
      </w:r>
      <w:r w:rsidRPr="003D32E9">
        <w:t>Структура расходов бюджета Нефтеюганского муниципального района в 2014-2016 гг.</w:t>
      </w:r>
      <w:r w:rsidR="00D87DA7" w:rsidRPr="003D32E9">
        <w:t>, млн. рублей</w:t>
      </w:r>
    </w:p>
    <w:p w14:paraId="5E3653AD" w14:textId="77777777" w:rsidR="003D32E9" w:rsidRPr="003D32E9" w:rsidRDefault="003D32E9" w:rsidP="00A93D7F"/>
    <w:p w14:paraId="0BDCB004" w14:textId="0EE57EB4" w:rsidR="00CB30AB" w:rsidRDefault="002C7A63" w:rsidP="00A93D7F">
      <w:r w:rsidRPr="005274D2">
        <w:t xml:space="preserve">Структура доходов </w:t>
      </w:r>
      <w:r w:rsidR="002933E2">
        <w:t xml:space="preserve">районного </w:t>
      </w:r>
      <w:r w:rsidRPr="005274D2">
        <w:t xml:space="preserve">бюджета включает в себя поступления от уплаты налогов, установленных Налоговым кодексом Российской Федерации, поступления от уплаты </w:t>
      </w:r>
      <w:r w:rsidR="002933E2">
        <w:t>неналоговых</w:t>
      </w:r>
      <w:r w:rsidRPr="005274D2">
        <w:t xml:space="preserve"> платежей и сборов, установленных законодательством Российской Федерации, а также </w:t>
      </w:r>
      <w:r w:rsidR="002933E2">
        <w:t xml:space="preserve">безвозмездные </w:t>
      </w:r>
      <w:r w:rsidRPr="005274D2">
        <w:t>поступления от других бюдж</w:t>
      </w:r>
      <w:r>
        <w:t xml:space="preserve">етов </w:t>
      </w:r>
      <w:r w:rsidR="002933E2">
        <w:t xml:space="preserve">бюджетной системы </w:t>
      </w:r>
      <w:r>
        <w:t xml:space="preserve">(межбюджетные трансферты), </w:t>
      </w:r>
      <w:r w:rsidRPr="005274D2">
        <w:t>организаций</w:t>
      </w:r>
      <w:r>
        <w:t xml:space="preserve"> и</w:t>
      </w:r>
      <w:r w:rsidRPr="005274D2">
        <w:t xml:space="preserve"> граждан</w:t>
      </w:r>
      <w:r>
        <w:t>.</w:t>
      </w:r>
      <w:r w:rsidR="00A90B0B">
        <w:t xml:space="preserve"> По итогам 2016 г. доходы районного бюджета составили 5 833,1 млн. рублей, из них </w:t>
      </w:r>
      <w:r w:rsidR="00736D87">
        <w:t xml:space="preserve">собственные доходы бюджета составили </w:t>
      </w:r>
      <w:r w:rsidR="00A90B0B">
        <w:t>2 726,4 млн. рублей (47,5% доходов бюджета района)</w:t>
      </w:r>
      <w:r w:rsidR="001508C4">
        <w:t>.</w:t>
      </w:r>
      <w:r w:rsidR="00CF4A61">
        <w:t xml:space="preserve"> За рассматриваемый период рост доходов районного бюджета составил 50,1%, </w:t>
      </w:r>
      <w:r w:rsidR="00571D10">
        <w:t>при этом основную долю роста доходов бюджета обеспечили неналоговые доходы и безвозмездные поступления.</w:t>
      </w:r>
    </w:p>
    <w:p w14:paraId="6DB65182" w14:textId="77777777" w:rsidR="00424DEB" w:rsidRDefault="00424DEB" w:rsidP="00A93D7F"/>
    <w:p w14:paraId="175858A1" w14:textId="797052A5" w:rsidR="00E51F25" w:rsidRDefault="00E51F25" w:rsidP="00A93D7F">
      <w:r w:rsidRPr="00E51F25">
        <w:rPr>
          <w:noProof/>
        </w:rPr>
        <w:drawing>
          <wp:inline distT="0" distB="0" distL="0" distR="0" wp14:anchorId="651F6C2A" wp14:editId="765794A7">
            <wp:extent cx="4725543" cy="263546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screen">
                      <a:extLst>
                        <a:ext uri="{28A0092B-C50C-407E-A947-70E740481C1C}">
                          <a14:useLocalDpi xmlns:a14="http://schemas.microsoft.com/office/drawing/2010/main"/>
                        </a:ext>
                      </a:extLst>
                    </a:blip>
                    <a:stretch>
                      <a:fillRect/>
                    </a:stretch>
                  </pic:blipFill>
                  <pic:spPr>
                    <a:xfrm>
                      <a:off x="0" y="0"/>
                      <a:ext cx="4742370" cy="2644851"/>
                    </a:xfrm>
                    <a:prstGeom prst="rect">
                      <a:avLst/>
                    </a:prstGeom>
                  </pic:spPr>
                </pic:pic>
              </a:graphicData>
            </a:graphic>
          </wp:inline>
        </w:drawing>
      </w:r>
    </w:p>
    <w:p w14:paraId="1EE7E5AF" w14:textId="77777777" w:rsidR="0070513A" w:rsidRDefault="0070513A" w:rsidP="00A93D7F"/>
    <w:p w14:paraId="6F26CC8B" w14:textId="34C81176" w:rsidR="0070513A" w:rsidRDefault="0070513A" w:rsidP="00A93D7F">
      <w:pPr>
        <w:pStyle w:val="ac"/>
      </w:pPr>
      <w:r w:rsidRPr="0070513A">
        <w:t xml:space="preserve">Рисунок </w:t>
      </w:r>
      <w:fldSimple w:instr=" SEQ Рисунок \* ARABIC ">
        <w:r w:rsidR="00ED1BAA">
          <w:rPr>
            <w:noProof/>
          </w:rPr>
          <w:t>21</w:t>
        </w:r>
      </w:fldSimple>
      <w:r w:rsidRPr="0070513A">
        <w:t xml:space="preserve"> </w:t>
      </w:r>
      <w:r w:rsidRPr="003D32E9">
        <w:t>Структура доходов бюджета Нефтеюганского муниципального района в 2014-2016 гг., млн. рублей</w:t>
      </w:r>
    </w:p>
    <w:p w14:paraId="65350583" w14:textId="77777777" w:rsidR="003D32E9" w:rsidRPr="003D32E9" w:rsidRDefault="003D32E9" w:rsidP="00A93D7F"/>
    <w:p w14:paraId="12B1AD57" w14:textId="20277453" w:rsidR="005F20C3" w:rsidRDefault="005F20C3" w:rsidP="00A93D7F">
      <w:r>
        <w:t>О</w:t>
      </w:r>
      <w:r w:rsidRPr="005274D2">
        <w:t>сновн</w:t>
      </w:r>
      <w:r>
        <w:t>ая</w:t>
      </w:r>
      <w:r w:rsidRPr="005274D2">
        <w:t xml:space="preserve"> дол</w:t>
      </w:r>
      <w:r>
        <w:t>я налоговых</w:t>
      </w:r>
      <w:r w:rsidRPr="005274D2">
        <w:t xml:space="preserve"> доходов бюджета </w:t>
      </w:r>
      <w:r>
        <w:t>приходится на доходы от уплаты НДФЛ (86,2</w:t>
      </w:r>
      <w:r w:rsidRPr="005274D2">
        <w:t>%</w:t>
      </w:r>
      <w:r>
        <w:t xml:space="preserve"> налоговых доходов бюджета), оставшуюся часть налоговых доходов </w:t>
      </w:r>
      <w:r w:rsidR="0020163B">
        <w:t>составляют</w:t>
      </w:r>
      <w:r>
        <w:t xml:space="preserve"> налоги на совокупный доход, налоги на имущество и акцизы.</w:t>
      </w:r>
    </w:p>
    <w:p w14:paraId="39E34876" w14:textId="7F800839" w:rsidR="002E34BF" w:rsidRDefault="00496E89" w:rsidP="00A93D7F">
      <w:r>
        <w:lastRenderedPageBreak/>
        <w:t xml:space="preserve">Несмотря на увеличение абсолютного объема межбюджетных трансфертов, </w:t>
      </w:r>
      <w:r w:rsidR="00CD67FF">
        <w:t>за рассматриваемый период отмечается рост собственных доходов районного бюджета</w:t>
      </w:r>
      <w:r w:rsidR="00B4043A">
        <w:t>. П</w:t>
      </w:r>
      <w:r w:rsidR="00CD67FF">
        <w:t xml:space="preserve">о итогам 2016 г. доля безвозмездных поступлений </w:t>
      </w:r>
      <w:r w:rsidR="00B4043A">
        <w:t xml:space="preserve">в бюджет района </w:t>
      </w:r>
      <w:r w:rsidR="00CD67FF">
        <w:t xml:space="preserve">составила </w:t>
      </w:r>
      <w:r w:rsidR="00B4043A">
        <w:t>52,5% (из них 84,2% приходится на межбюджетные трансферты)</w:t>
      </w:r>
      <w:r w:rsidR="00D64925">
        <w:t xml:space="preserve">, </w:t>
      </w:r>
      <w:r w:rsidR="009774C9">
        <w:t>в 2014 г. удельный вес безвозмездных поступлений оставался на уровне 64,1%.</w:t>
      </w:r>
      <w:r w:rsidR="0029194B">
        <w:t xml:space="preserve"> </w:t>
      </w:r>
      <w:r w:rsidR="000650FC">
        <w:t>Доля собственных доходов бюджета увеличилась преимущественно за счет роста неналоговых поступлений в бюджет (штрафов, санкций</w:t>
      </w:r>
      <w:r w:rsidR="000650FC" w:rsidRPr="0014494D">
        <w:t xml:space="preserve">, </w:t>
      </w:r>
      <w:r w:rsidR="000650FC">
        <w:t xml:space="preserve">платы за </w:t>
      </w:r>
      <w:r w:rsidR="000650FC" w:rsidRPr="0014494D">
        <w:t>возмещение ущерба</w:t>
      </w:r>
      <w:r w:rsidR="000650FC">
        <w:t xml:space="preserve">). </w:t>
      </w:r>
      <w:r w:rsidR="0029194B">
        <w:t xml:space="preserve">В то же время, рост налоговых доходов </w:t>
      </w:r>
      <w:r w:rsidR="001F2129">
        <w:t xml:space="preserve">в 2014-2016 гг. </w:t>
      </w:r>
      <w:r w:rsidR="0029194B">
        <w:t>составил незначительные 3,1%</w:t>
      </w:r>
      <w:r w:rsidR="00C0525B">
        <w:t xml:space="preserve">, </w:t>
      </w:r>
      <w:r w:rsidR="00E4167E">
        <w:t xml:space="preserve">объем поступлений от НДФЛ </w:t>
      </w:r>
      <w:r w:rsidR="00FD605F">
        <w:t>оставался на уровне 2014 г. (рост</w:t>
      </w:r>
      <w:r w:rsidR="00E4167E">
        <w:t xml:space="preserve"> </w:t>
      </w:r>
      <w:r w:rsidR="00FD605F">
        <w:t xml:space="preserve">на 100,1% за рассматриваемый период). </w:t>
      </w:r>
    </w:p>
    <w:p w14:paraId="2C5940AD" w14:textId="6EAB5215" w:rsidR="00CB30AB" w:rsidRDefault="006E04A2" w:rsidP="00A93D7F">
      <w:r>
        <w:t xml:space="preserve">По итогам 2016 года бюджет района </w:t>
      </w:r>
      <w:r w:rsidR="0020590D">
        <w:t>исполнен с дефицитом 527,9 млн. рублей.</w:t>
      </w:r>
    </w:p>
    <w:p w14:paraId="7651E5A6" w14:textId="77777777" w:rsidR="00F167F6" w:rsidRPr="002A44AA" w:rsidRDefault="00F167F6" w:rsidP="00A93D7F"/>
    <w:p w14:paraId="368ADD3A" w14:textId="77777777" w:rsidR="004D6893" w:rsidRPr="008C0492" w:rsidRDefault="004D6893" w:rsidP="008C0492">
      <w:pPr>
        <w:jc w:val="center"/>
        <w:rPr>
          <w:b/>
        </w:rPr>
      </w:pPr>
      <w:r w:rsidRPr="008C0492">
        <w:rPr>
          <w:b/>
        </w:rPr>
        <w:t>Характеристика пространственного развития Нефтеюганского района</w:t>
      </w:r>
    </w:p>
    <w:p w14:paraId="2301FABA" w14:textId="77777777" w:rsidR="00240F38" w:rsidRPr="00DC4F12" w:rsidRDefault="00240F38" w:rsidP="00A93D7F"/>
    <w:p w14:paraId="0855C47A" w14:textId="77777777" w:rsidR="004D6893" w:rsidRPr="008C0492" w:rsidRDefault="004D6893" w:rsidP="00A93D7F">
      <w:pPr>
        <w:rPr>
          <w:i/>
        </w:rPr>
      </w:pPr>
      <w:r w:rsidRPr="008C0492">
        <w:rPr>
          <w:i/>
        </w:rPr>
        <w:t xml:space="preserve">Характеристика системы расселения </w:t>
      </w:r>
    </w:p>
    <w:p w14:paraId="5D5F3DF5" w14:textId="77777777" w:rsidR="004D6893" w:rsidRDefault="004D6893" w:rsidP="00A93D7F">
      <w:r>
        <w:t>Отличительной о</w:t>
      </w:r>
      <w:r w:rsidRPr="008031B0">
        <w:t xml:space="preserve">собенностью </w:t>
      </w:r>
      <w:r>
        <w:t>системы расселения</w:t>
      </w:r>
      <w:r w:rsidRPr="008031B0">
        <w:t xml:space="preserve"> </w:t>
      </w:r>
      <w:r>
        <w:t xml:space="preserve">Нефтеюганского района, как и других нефтедобывающих муниципальных образований </w:t>
      </w:r>
      <w:r w:rsidRPr="008031B0">
        <w:t>Ханты</w:t>
      </w:r>
      <w:r>
        <w:t>- Мансий</w:t>
      </w:r>
      <w:r w:rsidRPr="008031B0">
        <w:t>ского автономного округа – Югры</w:t>
      </w:r>
      <w:r>
        <w:t>, является</w:t>
      </w:r>
      <w:r w:rsidRPr="008031B0">
        <w:t xml:space="preserve"> очаговое размещение поселений, приуроченных к разрабатываемым месторождениям. </w:t>
      </w:r>
      <w:r>
        <w:t xml:space="preserve">При этом </w:t>
      </w:r>
      <w:r w:rsidRPr="008031B0">
        <w:t>пространственные диспропорции развития</w:t>
      </w:r>
      <w:r>
        <w:t xml:space="preserve"> проявляются на рай</w:t>
      </w:r>
      <w:r w:rsidRPr="008031B0">
        <w:t>онном уровне: основные центры размещения производительных сил приурочены к главн</w:t>
      </w:r>
      <w:r>
        <w:t>ому городскому</w:t>
      </w:r>
      <w:r w:rsidRPr="008031B0">
        <w:t xml:space="preserve"> поселени</w:t>
      </w:r>
      <w:r>
        <w:t>ю</w:t>
      </w:r>
      <w:r w:rsidRPr="008031B0">
        <w:t xml:space="preserve"> </w:t>
      </w:r>
      <w:r>
        <w:t>(г.п. Пойковский)</w:t>
      </w:r>
      <w:r w:rsidRPr="008031B0">
        <w:t xml:space="preserve">. </w:t>
      </w:r>
    </w:p>
    <w:p w14:paraId="29D8BE57" w14:textId="26105CDC" w:rsidR="004D6893" w:rsidRDefault="004D6893" w:rsidP="00A93D7F">
      <w:r>
        <w:t>Степень урбанизации Нефтеюганского района составляет 58,5%, система расселения характеризуется низкой плотностью населения, характерной для районов Крайнего севера (</w:t>
      </w:r>
      <w:r w:rsidRPr="001B70FD">
        <w:t>1,8 чел./км</w:t>
      </w:r>
      <w:r w:rsidRPr="001B70FD">
        <w:rPr>
          <w:vertAlign w:val="superscript"/>
        </w:rPr>
        <w:t>2</w:t>
      </w:r>
      <w:r>
        <w:t>). Пространственное развитие</w:t>
      </w:r>
      <w:r w:rsidRPr="008031B0">
        <w:t xml:space="preserve"> </w:t>
      </w:r>
      <w:r>
        <w:t xml:space="preserve">Нефтеюганского </w:t>
      </w:r>
      <w:r w:rsidRPr="008031B0">
        <w:t xml:space="preserve">района </w:t>
      </w:r>
      <w:r>
        <w:t>имеет ярко выраженную центростремительную модель</w:t>
      </w:r>
      <w:r w:rsidRPr="008031B0">
        <w:t xml:space="preserve"> </w:t>
      </w:r>
      <w:r>
        <w:t>«</w:t>
      </w:r>
      <w:r w:rsidRPr="008031B0">
        <w:t>север-юг</w:t>
      </w:r>
      <w:r>
        <w:t xml:space="preserve">», характеризующуюся </w:t>
      </w:r>
      <w:r w:rsidRPr="008031B0">
        <w:t>более</w:t>
      </w:r>
      <w:r>
        <w:t xml:space="preserve"> высокой плотностью заселения</w:t>
      </w:r>
      <w:r w:rsidRPr="008031B0">
        <w:t xml:space="preserve"> север</w:t>
      </w:r>
      <w:r>
        <w:t>ной части района</w:t>
      </w:r>
      <w:r w:rsidRPr="008031B0">
        <w:t xml:space="preserve"> </w:t>
      </w:r>
      <w:r w:rsidR="002B39E5">
        <w:t>(г</w:t>
      </w:r>
      <w:r>
        <w:t>п. </w:t>
      </w:r>
      <w:r w:rsidRPr="008031B0">
        <w:t>Пойковский</w:t>
      </w:r>
      <w:r>
        <w:t xml:space="preserve"> и соседние сельские поселения</w:t>
      </w:r>
      <w:r w:rsidRPr="008031B0">
        <w:t xml:space="preserve"> </w:t>
      </w:r>
      <w:r>
        <w:t xml:space="preserve">– </w:t>
      </w:r>
      <w:r w:rsidR="00037BDB">
        <w:t>с</w:t>
      </w:r>
      <w:r>
        <w:t>п. </w:t>
      </w:r>
      <w:r w:rsidRPr="008031B0">
        <w:t xml:space="preserve">Сингапай, </w:t>
      </w:r>
      <w:r w:rsidR="00037BDB">
        <w:t>с</w:t>
      </w:r>
      <w:r>
        <w:t>п. </w:t>
      </w:r>
      <w:r w:rsidRPr="008031B0">
        <w:t xml:space="preserve">Усть-Юган, </w:t>
      </w:r>
      <w:r w:rsidR="00037BDB">
        <w:t>с</w:t>
      </w:r>
      <w:r>
        <w:t>п. </w:t>
      </w:r>
      <w:r w:rsidRPr="008031B0">
        <w:t>Каркатеевы</w:t>
      </w:r>
      <w:r>
        <w:t>) и менее плотно населенной</w:t>
      </w:r>
      <w:r w:rsidRPr="008031B0">
        <w:t xml:space="preserve"> </w:t>
      </w:r>
      <w:r>
        <w:t>южной частью</w:t>
      </w:r>
      <w:r w:rsidRPr="008031B0">
        <w:t xml:space="preserve"> </w:t>
      </w:r>
      <w:r w:rsidR="00037BDB">
        <w:t>(сп. Салым, с</w:t>
      </w:r>
      <w:r>
        <w:t>п. </w:t>
      </w:r>
      <w:r w:rsidRPr="008031B0">
        <w:t xml:space="preserve">Куть-Ях и </w:t>
      </w:r>
      <w:r w:rsidR="00037BDB">
        <w:t>с</w:t>
      </w:r>
      <w:r>
        <w:t>п. </w:t>
      </w:r>
      <w:r w:rsidRPr="008031B0">
        <w:t>Сентябрьский)</w:t>
      </w:r>
      <w:r>
        <w:t>.</w:t>
      </w:r>
      <w:r w:rsidRPr="002B6A79">
        <w:t xml:space="preserve"> </w:t>
      </w:r>
      <w:r>
        <w:t xml:space="preserve">Особенности размещения производительных сил, и как следствие, сложившаяся система расселения определяют </w:t>
      </w:r>
      <w:r w:rsidRPr="008031B0">
        <w:t>слабы</w:t>
      </w:r>
      <w:r>
        <w:t>е внутрирайонные связи территории.</w:t>
      </w:r>
    </w:p>
    <w:p w14:paraId="7B0ADD61" w14:textId="008953B2" w:rsidR="004D6893" w:rsidRPr="008A05A1" w:rsidRDefault="004D6893" w:rsidP="00A93D7F">
      <w:pPr>
        <w:rPr>
          <w:rFonts w:ascii="Times" w:hAnsi="Times" w:cs="Times"/>
        </w:rPr>
      </w:pPr>
      <w:r>
        <w:t>Устойчивыми центрами расселения являются</w:t>
      </w:r>
      <w:r w:rsidRPr="008031B0">
        <w:t xml:space="preserve"> наиболее крупные населенные пункты</w:t>
      </w:r>
      <w:r>
        <w:t>,</w:t>
      </w:r>
      <w:r w:rsidRPr="008031B0">
        <w:t xml:space="preserve"> или зоны с необходимым набором инженерной и социальной инфраструктуры, более развитой сервисной частью</w:t>
      </w:r>
      <w:r>
        <w:t xml:space="preserve"> и потребительским рынком (более высоким уровнем обеспеченности населения предприятиями розничной торговли и бытовых ус</w:t>
      </w:r>
      <w:r w:rsidR="00037BDB">
        <w:t>луг) – это, в первую очередь, г</w:t>
      </w:r>
      <w:r>
        <w:t>п. </w:t>
      </w:r>
      <w:r w:rsidRPr="008031B0">
        <w:t>П</w:t>
      </w:r>
      <w:r w:rsidR="00037BDB">
        <w:t>ойковский и с</w:t>
      </w:r>
      <w:r>
        <w:t xml:space="preserve">п. </w:t>
      </w:r>
      <w:r w:rsidRPr="008031B0">
        <w:t>Салым</w:t>
      </w:r>
      <w:r>
        <w:t>.</w:t>
      </w:r>
      <w:r w:rsidRPr="008031B0">
        <w:t xml:space="preserve"> </w:t>
      </w:r>
    </w:p>
    <w:p w14:paraId="6ADBC0E8" w14:textId="77777777" w:rsidR="004D6893" w:rsidRPr="005D3D2A" w:rsidRDefault="004D6893" w:rsidP="00A93D7F"/>
    <w:p w14:paraId="0B846910" w14:textId="77777777" w:rsidR="004D6893" w:rsidRDefault="004D6893" w:rsidP="00A93D7F">
      <w:pPr>
        <w:pStyle w:val="ac"/>
      </w:pPr>
      <w:r>
        <w:t xml:space="preserve">Таблица </w:t>
      </w:r>
      <w:fldSimple w:instr=" SEQ Таблица \* ARABIC ">
        <w:r w:rsidR="00ED1BAA">
          <w:rPr>
            <w:noProof/>
          </w:rPr>
          <w:t>11</w:t>
        </w:r>
      </w:fldSimple>
      <w:r>
        <w:t xml:space="preserve"> </w:t>
      </w:r>
    </w:p>
    <w:p w14:paraId="20C118E2" w14:textId="2AE4618E" w:rsidR="00227FD3" w:rsidRPr="00A30E44" w:rsidRDefault="004D6893" w:rsidP="00A93D7F">
      <w:pPr>
        <w:pStyle w:val="ac"/>
      </w:pPr>
      <w:r w:rsidRPr="00A30E44">
        <w:t>Характеристика системы расселения Нефтеюганского района</w:t>
      </w:r>
    </w:p>
    <w:tbl>
      <w:tblPr>
        <w:tblW w:w="93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2"/>
        <w:gridCol w:w="1134"/>
        <w:gridCol w:w="1558"/>
        <w:gridCol w:w="994"/>
        <w:gridCol w:w="1276"/>
        <w:gridCol w:w="1134"/>
        <w:gridCol w:w="1545"/>
      </w:tblGrid>
      <w:tr w:rsidR="004D6893" w:rsidRPr="00A30E44" w14:paraId="341B2BB0" w14:textId="77777777" w:rsidTr="002B39E5">
        <w:trPr>
          <w:trHeight w:val="300"/>
        </w:trPr>
        <w:tc>
          <w:tcPr>
            <w:tcW w:w="1702" w:type="dxa"/>
            <w:shd w:val="clear" w:color="auto" w:fill="auto"/>
            <w:noWrap/>
            <w:vAlign w:val="center"/>
            <w:hideMark/>
          </w:tcPr>
          <w:p w14:paraId="528B9A1F" w14:textId="77777777" w:rsidR="004D6893" w:rsidRPr="00A30E44" w:rsidRDefault="004D6893" w:rsidP="008C0492">
            <w:pPr>
              <w:pStyle w:val="af7"/>
            </w:pPr>
            <w:r w:rsidRPr="00A30E44">
              <w:t>Поселение</w:t>
            </w:r>
          </w:p>
        </w:tc>
        <w:tc>
          <w:tcPr>
            <w:tcW w:w="1134" w:type="dxa"/>
            <w:shd w:val="clear" w:color="auto" w:fill="auto"/>
            <w:noWrap/>
            <w:vAlign w:val="center"/>
            <w:hideMark/>
          </w:tcPr>
          <w:p w14:paraId="50A471B3" w14:textId="77777777" w:rsidR="004D6893" w:rsidRPr="00A30E44" w:rsidRDefault="004D6893" w:rsidP="008C0492">
            <w:pPr>
              <w:pStyle w:val="af7"/>
              <w:jc w:val="center"/>
            </w:pPr>
            <w:r w:rsidRPr="00A30E44">
              <w:t>Население, на 1 янв. 2017 г., чел.</w:t>
            </w:r>
          </w:p>
        </w:tc>
        <w:tc>
          <w:tcPr>
            <w:tcW w:w="1558" w:type="dxa"/>
            <w:vAlign w:val="center"/>
          </w:tcPr>
          <w:p w14:paraId="4FAAC315" w14:textId="77777777" w:rsidR="004D6893" w:rsidRPr="00A30E44" w:rsidRDefault="004D6893" w:rsidP="008C0492">
            <w:pPr>
              <w:pStyle w:val="af7"/>
              <w:jc w:val="center"/>
            </w:pPr>
            <w:r w:rsidRPr="00A30E44">
              <w:t>Изменение численности населения в 2014-2016 гг., %</w:t>
            </w:r>
          </w:p>
        </w:tc>
        <w:tc>
          <w:tcPr>
            <w:tcW w:w="994" w:type="dxa"/>
            <w:vAlign w:val="center"/>
          </w:tcPr>
          <w:p w14:paraId="650ADB69" w14:textId="77777777" w:rsidR="004D6893" w:rsidRPr="00A30E44" w:rsidRDefault="004D6893" w:rsidP="008C0492">
            <w:pPr>
              <w:pStyle w:val="af7"/>
              <w:jc w:val="center"/>
            </w:pPr>
            <w:r w:rsidRPr="00A30E44">
              <w:t>МП в 2014-2016 гг., чел.</w:t>
            </w:r>
          </w:p>
        </w:tc>
        <w:tc>
          <w:tcPr>
            <w:tcW w:w="1276" w:type="dxa"/>
            <w:vAlign w:val="center"/>
          </w:tcPr>
          <w:p w14:paraId="6C9042BA" w14:textId="77777777" w:rsidR="004D6893" w:rsidRPr="00A30E44" w:rsidRDefault="004D6893" w:rsidP="008C0492">
            <w:pPr>
              <w:pStyle w:val="af7"/>
              <w:jc w:val="center"/>
            </w:pPr>
            <w:r w:rsidRPr="00A30E44">
              <w:t>Число объектов розничной</w:t>
            </w:r>
          </w:p>
          <w:p w14:paraId="755CD5E0" w14:textId="2BE47519" w:rsidR="004D6893" w:rsidRPr="00A30E44" w:rsidRDefault="004D6893" w:rsidP="008C0492">
            <w:pPr>
              <w:pStyle w:val="af7"/>
              <w:jc w:val="center"/>
            </w:pPr>
            <w:r w:rsidRPr="00A30E44">
              <w:t>торговли, ед.</w:t>
            </w:r>
          </w:p>
        </w:tc>
        <w:tc>
          <w:tcPr>
            <w:tcW w:w="1134" w:type="dxa"/>
            <w:vAlign w:val="center"/>
          </w:tcPr>
          <w:p w14:paraId="0585D968" w14:textId="77777777" w:rsidR="004D6893" w:rsidRPr="00A30E44" w:rsidRDefault="004D6893" w:rsidP="008C0492">
            <w:pPr>
              <w:pStyle w:val="af7"/>
              <w:jc w:val="center"/>
            </w:pPr>
            <w:r w:rsidRPr="00A30E44">
              <w:t>Число мест в объектах общепита, ед.</w:t>
            </w:r>
          </w:p>
        </w:tc>
        <w:tc>
          <w:tcPr>
            <w:tcW w:w="1545" w:type="dxa"/>
            <w:vAlign w:val="center"/>
          </w:tcPr>
          <w:p w14:paraId="7AF214F6" w14:textId="77777777" w:rsidR="004D6893" w:rsidRPr="00A30E44" w:rsidRDefault="004D6893" w:rsidP="008C0492">
            <w:pPr>
              <w:pStyle w:val="af7"/>
              <w:jc w:val="center"/>
            </w:pPr>
            <w:r w:rsidRPr="00A30E44">
              <w:t>Число объектов бытового обслуживания, ед.</w:t>
            </w:r>
          </w:p>
        </w:tc>
      </w:tr>
      <w:tr w:rsidR="004D6893" w:rsidRPr="00A30E44" w14:paraId="604C99CC" w14:textId="77777777" w:rsidTr="002B39E5">
        <w:trPr>
          <w:trHeight w:val="314"/>
        </w:trPr>
        <w:tc>
          <w:tcPr>
            <w:tcW w:w="1702" w:type="dxa"/>
            <w:shd w:val="clear" w:color="auto" w:fill="auto"/>
            <w:noWrap/>
            <w:vAlign w:val="center"/>
            <w:hideMark/>
          </w:tcPr>
          <w:p w14:paraId="1167BE68" w14:textId="08D962DD" w:rsidR="004D6893" w:rsidRPr="00A30E44" w:rsidRDefault="00037BDB" w:rsidP="008C0492">
            <w:pPr>
              <w:pStyle w:val="af7"/>
            </w:pPr>
            <w:r w:rsidRPr="00A30E44">
              <w:t>г</w:t>
            </w:r>
            <w:r w:rsidR="004D6893" w:rsidRPr="00A30E44">
              <w:t>п. Пойковский</w:t>
            </w:r>
          </w:p>
        </w:tc>
        <w:tc>
          <w:tcPr>
            <w:tcW w:w="1134" w:type="dxa"/>
            <w:shd w:val="clear" w:color="auto" w:fill="auto"/>
            <w:noWrap/>
            <w:vAlign w:val="center"/>
            <w:hideMark/>
          </w:tcPr>
          <w:p w14:paraId="5400497D" w14:textId="77777777" w:rsidR="004D6893" w:rsidRPr="00A30E44" w:rsidRDefault="004D6893" w:rsidP="008C0492">
            <w:pPr>
              <w:pStyle w:val="af7"/>
              <w:jc w:val="center"/>
            </w:pPr>
            <w:r w:rsidRPr="00A30E44">
              <w:t>26436</w:t>
            </w:r>
          </w:p>
        </w:tc>
        <w:tc>
          <w:tcPr>
            <w:tcW w:w="1558" w:type="dxa"/>
            <w:vAlign w:val="center"/>
          </w:tcPr>
          <w:p w14:paraId="2A10129C" w14:textId="77777777" w:rsidR="004D6893" w:rsidRPr="00A30E44" w:rsidRDefault="004D6893" w:rsidP="008C0492">
            <w:pPr>
              <w:pStyle w:val="af7"/>
              <w:jc w:val="center"/>
            </w:pPr>
            <w:r w:rsidRPr="00A30E44">
              <w:t>101,0%</w:t>
            </w:r>
          </w:p>
        </w:tc>
        <w:tc>
          <w:tcPr>
            <w:tcW w:w="994" w:type="dxa"/>
            <w:vAlign w:val="center"/>
          </w:tcPr>
          <w:p w14:paraId="45A6A81D" w14:textId="77777777" w:rsidR="004D6893" w:rsidRPr="00A30E44" w:rsidRDefault="004D6893" w:rsidP="008C0492">
            <w:pPr>
              <w:pStyle w:val="af7"/>
              <w:jc w:val="center"/>
            </w:pPr>
            <w:r w:rsidRPr="00A30E44">
              <w:t>-89</w:t>
            </w:r>
          </w:p>
        </w:tc>
        <w:tc>
          <w:tcPr>
            <w:tcW w:w="1276" w:type="dxa"/>
            <w:vAlign w:val="center"/>
          </w:tcPr>
          <w:p w14:paraId="258C3847" w14:textId="77777777" w:rsidR="004D6893" w:rsidRPr="00A30E44" w:rsidRDefault="004D6893" w:rsidP="008C0492">
            <w:pPr>
              <w:pStyle w:val="af7"/>
              <w:jc w:val="center"/>
            </w:pPr>
            <w:r w:rsidRPr="00A30E44">
              <w:t>56</w:t>
            </w:r>
          </w:p>
        </w:tc>
        <w:tc>
          <w:tcPr>
            <w:tcW w:w="1134" w:type="dxa"/>
            <w:vAlign w:val="center"/>
          </w:tcPr>
          <w:p w14:paraId="0F57CA2C" w14:textId="77777777" w:rsidR="004D6893" w:rsidRPr="00A30E44" w:rsidRDefault="004D6893" w:rsidP="008C0492">
            <w:pPr>
              <w:pStyle w:val="af7"/>
              <w:jc w:val="center"/>
            </w:pPr>
            <w:r w:rsidRPr="00A30E44">
              <w:t>780</w:t>
            </w:r>
          </w:p>
        </w:tc>
        <w:tc>
          <w:tcPr>
            <w:tcW w:w="1545" w:type="dxa"/>
            <w:vAlign w:val="center"/>
          </w:tcPr>
          <w:p w14:paraId="35F3AD50" w14:textId="77777777" w:rsidR="004D6893" w:rsidRPr="00A30E44" w:rsidRDefault="004D6893" w:rsidP="008C0492">
            <w:pPr>
              <w:pStyle w:val="af7"/>
              <w:jc w:val="center"/>
            </w:pPr>
            <w:r w:rsidRPr="00A30E44">
              <w:t>44</w:t>
            </w:r>
          </w:p>
        </w:tc>
      </w:tr>
      <w:tr w:rsidR="004D6893" w:rsidRPr="00A30E44" w14:paraId="50BF0428" w14:textId="77777777" w:rsidTr="002B39E5">
        <w:trPr>
          <w:trHeight w:val="300"/>
        </w:trPr>
        <w:tc>
          <w:tcPr>
            <w:tcW w:w="1702" w:type="dxa"/>
            <w:shd w:val="clear" w:color="auto" w:fill="auto"/>
            <w:noWrap/>
            <w:vAlign w:val="center"/>
          </w:tcPr>
          <w:p w14:paraId="75B508BD" w14:textId="54A5078B" w:rsidR="004D6893" w:rsidRPr="00A30E44" w:rsidRDefault="00037BDB" w:rsidP="008C0492">
            <w:pPr>
              <w:pStyle w:val="af7"/>
            </w:pPr>
            <w:r w:rsidRPr="00A30E44">
              <w:t>с</w:t>
            </w:r>
            <w:r w:rsidR="004D6893" w:rsidRPr="00A30E44">
              <w:t>п. Салым</w:t>
            </w:r>
          </w:p>
        </w:tc>
        <w:tc>
          <w:tcPr>
            <w:tcW w:w="1134" w:type="dxa"/>
            <w:shd w:val="clear" w:color="auto" w:fill="auto"/>
            <w:noWrap/>
            <w:vAlign w:val="center"/>
          </w:tcPr>
          <w:p w14:paraId="3D1D2E80" w14:textId="77777777" w:rsidR="004D6893" w:rsidRPr="00A30E44" w:rsidRDefault="004D6893" w:rsidP="008C0492">
            <w:pPr>
              <w:pStyle w:val="af7"/>
              <w:jc w:val="center"/>
            </w:pPr>
            <w:r w:rsidRPr="00A30E44">
              <w:t>7410</w:t>
            </w:r>
          </w:p>
        </w:tc>
        <w:tc>
          <w:tcPr>
            <w:tcW w:w="1558" w:type="dxa"/>
            <w:vAlign w:val="center"/>
          </w:tcPr>
          <w:p w14:paraId="238DB773" w14:textId="77777777" w:rsidR="004D6893" w:rsidRPr="00A30E44" w:rsidRDefault="004D6893" w:rsidP="008C0492">
            <w:pPr>
              <w:pStyle w:val="af7"/>
              <w:jc w:val="center"/>
            </w:pPr>
            <w:r w:rsidRPr="00A30E44">
              <w:t>102,0%</w:t>
            </w:r>
          </w:p>
        </w:tc>
        <w:tc>
          <w:tcPr>
            <w:tcW w:w="994" w:type="dxa"/>
            <w:vAlign w:val="center"/>
          </w:tcPr>
          <w:p w14:paraId="0EC36D2E" w14:textId="77777777" w:rsidR="004D6893" w:rsidRPr="00A30E44" w:rsidRDefault="004D6893" w:rsidP="008C0492">
            <w:pPr>
              <w:pStyle w:val="af7"/>
              <w:jc w:val="center"/>
            </w:pPr>
            <w:r w:rsidRPr="00A30E44">
              <w:t>66</w:t>
            </w:r>
          </w:p>
        </w:tc>
        <w:tc>
          <w:tcPr>
            <w:tcW w:w="1276" w:type="dxa"/>
            <w:vAlign w:val="center"/>
          </w:tcPr>
          <w:p w14:paraId="7A402C3D" w14:textId="77777777" w:rsidR="004D6893" w:rsidRPr="00A30E44" w:rsidRDefault="004D6893" w:rsidP="008C0492">
            <w:pPr>
              <w:pStyle w:val="af7"/>
              <w:jc w:val="center"/>
            </w:pPr>
            <w:r w:rsidRPr="00A30E44">
              <w:t>81</w:t>
            </w:r>
          </w:p>
        </w:tc>
        <w:tc>
          <w:tcPr>
            <w:tcW w:w="1134" w:type="dxa"/>
            <w:vAlign w:val="center"/>
          </w:tcPr>
          <w:p w14:paraId="0AEE18A6" w14:textId="77777777" w:rsidR="004D6893" w:rsidRPr="00A30E44" w:rsidRDefault="004D6893" w:rsidP="008C0492">
            <w:pPr>
              <w:pStyle w:val="af7"/>
              <w:jc w:val="center"/>
            </w:pPr>
            <w:r w:rsidRPr="00A30E44">
              <w:t>239</w:t>
            </w:r>
          </w:p>
        </w:tc>
        <w:tc>
          <w:tcPr>
            <w:tcW w:w="1545" w:type="dxa"/>
            <w:vAlign w:val="center"/>
          </w:tcPr>
          <w:p w14:paraId="6B344EC6" w14:textId="77777777" w:rsidR="004D6893" w:rsidRPr="00A30E44" w:rsidRDefault="004D6893" w:rsidP="008C0492">
            <w:pPr>
              <w:pStyle w:val="af7"/>
              <w:jc w:val="center"/>
            </w:pPr>
            <w:r w:rsidRPr="00A30E44">
              <w:t>12</w:t>
            </w:r>
          </w:p>
        </w:tc>
      </w:tr>
      <w:tr w:rsidR="004D6893" w:rsidRPr="00A30E44" w14:paraId="63B56245" w14:textId="77777777" w:rsidTr="002B39E5">
        <w:trPr>
          <w:trHeight w:val="300"/>
        </w:trPr>
        <w:tc>
          <w:tcPr>
            <w:tcW w:w="1702" w:type="dxa"/>
            <w:shd w:val="clear" w:color="auto" w:fill="auto"/>
            <w:noWrap/>
            <w:vAlign w:val="center"/>
          </w:tcPr>
          <w:p w14:paraId="4B0F40AE" w14:textId="7BBAB071" w:rsidR="004D6893" w:rsidRPr="00A30E44" w:rsidRDefault="00037BDB" w:rsidP="008C0492">
            <w:pPr>
              <w:pStyle w:val="af7"/>
            </w:pPr>
            <w:r w:rsidRPr="00A30E44">
              <w:t>с</w:t>
            </w:r>
            <w:r w:rsidR="004D6893" w:rsidRPr="00A30E44">
              <w:t>п. Сингапай</w:t>
            </w:r>
          </w:p>
        </w:tc>
        <w:tc>
          <w:tcPr>
            <w:tcW w:w="1134" w:type="dxa"/>
            <w:shd w:val="clear" w:color="auto" w:fill="auto"/>
            <w:noWrap/>
            <w:vAlign w:val="center"/>
          </w:tcPr>
          <w:p w14:paraId="23313E5C" w14:textId="77777777" w:rsidR="004D6893" w:rsidRPr="00A30E44" w:rsidRDefault="004D6893" w:rsidP="008C0492">
            <w:pPr>
              <w:pStyle w:val="af7"/>
              <w:jc w:val="center"/>
            </w:pPr>
            <w:r w:rsidRPr="00A30E44">
              <w:t>3766</w:t>
            </w:r>
          </w:p>
        </w:tc>
        <w:tc>
          <w:tcPr>
            <w:tcW w:w="1558" w:type="dxa"/>
            <w:vAlign w:val="center"/>
          </w:tcPr>
          <w:p w14:paraId="33321F85" w14:textId="77777777" w:rsidR="004D6893" w:rsidRPr="00A30E44" w:rsidRDefault="004D6893" w:rsidP="008C0492">
            <w:pPr>
              <w:pStyle w:val="af7"/>
              <w:jc w:val="center"/>
            </w:pPr>
            <w:r w:rsidRPr="00A30E44">
              <w:t>110,4%</w:t>
            </w:r>
          </w:p>
        </w:tc>
        <w:tc>
          <w:tcPr>
            <w:tcW w:w="994" w:type="dxa"/>
            <w:vAlign w:val="center"/>
          </w:tcPr>
          <w:p w14:paraId="24F011D3" w14:textId="77777777" w:rsidR="004D6893" w:rsidRPr="00A30E44" w:rsidRDefault="004D6893" w:rsidP="008C0492">
            <w:pPr>
              <w:pStyle w:val="af7"/>
              <w:jc w:val="center"/>
            </w:pPr>
            <w:r w:rsidRPr="00A30E44">
              <w:t>430</w:t>
            </w:r>
          </w:p>
        </w:tc>
        <w:tc>
          <w:tcPr>
            <w:tcW w:w="1276" w:type="dxa"/>
            <w:vAlign w:val="center"/>
          </w:tcPr>
          <w:p w14:paraId="28E8A3B2" w14:textId="77777777" w:rsidR="004D6893" w:rsidRPr="00A30E44" w:rsidRDefault="004D6893" w:rsidP="008C0492">
            <w:pPr>
              <w:pStyle w:val="af7"/>
              <w:jc w:val="center"/>
            </w:pPr>
            <w:r w:rsidRPr="00A30E44">
              <w:t>30</w:t>
            </w:r>
          </w:p>
        </w:tc>
        <w:tc>
          <w:tcPr>
            <w:tcW w:w="1134" w:type="dxa"/>
            <w:vAlign w:val="center"/>
          </w:tcPr>
          <w:p w14:paraId="7FDCA78C" w14:textId="77777777" w:rsidR="004D6893" w:rsidRPr="00A30E44" w:rsidRDefault="004D6893" w:rsidP="008C0492">
            <w:pPr>
              <w:pStyle w:val="af7"/>
              <w:jc w:val="center"/>
            </w:pPr>
            <w:r w:rsidRPr="00A30E44">
              <w:t>36</w:t>
            </w:r>
          </w:p>
        </w:tc>
        <w:tc>
          <w:tcPr>
            <w:tcW w:w="1545" w:type="dxa"/>
            <w:vAlign w:val="center"/>
          </w:tcPr>
          <w:p w14:paraId="4F14956D" w14:textId="77777777" w:rsidR="004D6893" w:rsidRPr="00A30E44" w:rsidRDefault="004D6893" w:rsidP="008C0492">
            <w:pPr>
              <w:pStyle w:val="af7"/>
              <w:jc w:val="center"/>
            </w:pPr>
            <w:r w:rsidRPr="00A30E44">
              <w:t>1</w:t>
            </w:r>
          </w:p>
        </w:tc>
      </w:tr>
      <w:tr w:rsidR="004D6893" w:rsidRPr="00A30E44" w14:paraId="4C3E7EBF" w14:textId="77777777" w:rsidTr="002B39E5">
        <w:trPr>
          <w:trHeight w:val="300"/>
        </w:trPr>
        <w:tc>
          <w:tcPr>
            <w:tcW w:w="1702" w:type="dxa"/>
            <w:shd w:val="clear" w:color="auto" w:fill="auto"/>
            <w:noWrap/>
            <w:vAlign w:val="center"/>
          </w:tcPr>
          <w:p w14:paraId="4087CB94" w14:textId="3102C634" w:rsidR="004D6893" w:rsidRPr="00A30E44" w:rsidRDefault="00037BDB" w:rsidP="008C0492">
            <w:pPr>
              <w:pStyle w:val="af7"/>
            </w:pPr>
            <w:r w:rsidRPr="00A30E44">
              <w:t>с</w:t>
            </w:r>
            <w:r w:rsidR="004D6893" w:rsidRPr="00A30E44">
              <w:t>п. Куть-Ях</w:t>
            </w:r>
          </w:p>
        </w:tc>
        <w:tc>
          <w:tcPr>
            <w:tcW w:w="1134" w:type="dxa"/>
            <w:shd w:val="clear" w:color="auto" w:fill="auto"/>
            <w:noWrap/>
            <w:vAlign w:val="center"/>
          </w:tcPr>
          <w:p w14:paraId="3499D6CA" w14:textId="77777777" w:rsidR="004D6893" w:rsidRPr="00A30E44" w:rsidRDefault="004D6893" w:rsidP="008C0492">
            <w:pPr>
              <w:pStyle w:val="af7"/>
              <w:jc w:val="center"/>
            </w:pPr>
            <w:r w:rsidRPr="00A30E44">
              <w:t>2113</w:t>
            </w:r>
          </w:p>
        </w:tc>
        <w:tc>
          <w:tcPr>
            <w:tcW w:w="1558" w:type="dxa"/>
            <w:vAlign w:val="center"/>
          </w:tcPr>
          <w:p w14:paraId="0CD1DE0D" w14:textId="77777777" w:rsidR="004D6893" w:rsidRPr="00A30E44" w:rsidRDefault="004D6893" w:rsidP="008C0492">
            <w:pPr>
              <w:pStyle w:val="af7"/>
              <w:jc w:val="center"/>
            </w:pPr>
            <w:r w:rsidRPr="00A30E44">
              <w:t>101,9%</w:t>
            </w:r>
          </w:p>
        </w:tc>
        <w:tc>
          <w:tcPr>
            <w:tcW w:w="994" w:type="dxa"/>
            <w:vAlign w:val="center"/>
          </w:tcPr>
          <w:p w14:paraId="6A4043F4" w14:textId="77777777" w:rsidR="004D6893" w:rsidRPr="00A30E44" w:rsidRDefault="004D6893" w:rsidP="008C0492">
            <w:pPr>
              <w:pStyle w:val="af7"/>
              <w:jc w:val="center"/>
            </w:pPr>
            <w:r w:rsidRPr="00A30E44">
              <w:t>11</w:t>
            </w:r>
          </w:p>
        </w:tc>
        <w:tc>
          <w:tcPr>
            <w:tcW w:w="1276" w:type="dxa"/>
            <w:vAlign w:val="center"/>
          </w:tcPr>
          <w:p w14:paraId="3E7BE06D" w14:textId="77777777" w:rsidR="004D6893" w:rsidRPr="00A30E44" w:rsidRDefault="004D6893" w:rsidP="008C0492">
            <w:pPr>
              <w:pStyle w:val="af7"/>
              <w:jc w:val="center"/>
            </w:pPr>
            <w:r w:rsidRPr="00A30E44">
              <w:t>н/д</w:t>
            </w:r>
          </w:p>
        </w:tc>
        <w:tc>
          <w:tcPr>
            <w:tcW w:w="1134" w:type="dxa"/>
            <w:vAlign w:val="center"/>
          </w:tcPr>
          <w:p w14:paraId="315D87F2" w14:textId="77777777" w:rsidR="004D6893" w:rsidRPr="00A30E44" w:rsidRDefault="004D6893" w:rsidP="008C0492">
            <w:pPr>
              <w:pStyle w:val="af7"/>
              <w:jc w:val="center"/>
            </w:pPr>
            <w:r w:rsidRPr="00A30E44">
              <w:t>н/д</w:t>
            </w:r>
          </w:p>
        </w:tc>
        <w:tc>
          <w:tcPr>
            <w:tcW w:w="1545" w:type="dxa"/>
            <w:vAlign w:val="center"/>
          </w:tcPr>
          <w:p w14:paraId="6C351A4A" w14:textId="77777777" w:rsidR="004D6893" w:rsidRPr="00A30E44" w:rsidRDefault="004D6893" w:rsidP="008C0492">
            <w:pPr>
              <w:pStyle w:val="af7"/>
              <w:jc w:val="center"/>
            </w:pPr>
            <w:r w:rsidRPr="00A30E44">
              <w:t>н/д</w:t>
            </w:r>
          </w:p>
        </w:tc>
      </w:tr>
      <w:tr w:rsidR="004D6893" w:rsidRPr="00A30E44" w14:paraId="20AB5816" w14:textId="77777777" w:rsidTr="002B39E5">
        <w:trPr>
          <w:trHeight w:val="300"/>
        </w:trPr>
        <w:tc>
          <w:tcPr>
            <w:tcW w:w="1702" w:type="dxa"/>
            <w:shd w:val="clear" w:color="auto" w:fill="auto"/>
            <w:noWrap/>
            <w:vAlign w:val="center"/>
          </w:tcPr>
          <w:p w14:paraId="14913497" w14:textId="43C63CD2" w:rsidR="004D6893" w:rsidRPr="00A30E44" w:rsidRDefault="00037BDB" w:rsidP="008C0492">
            <w:pPr>
              <w:pStyle w:val="af7"/>
            </w:pPr>
            <w:r w:rsidRPr="00A30E44">
              <w:t>с</w:t>
            </w:r>
            <w:r w:rsidR="004D6893" w:rsidRPr="00A30E44">
              <w:t>п. Усть-Юган</w:t>
            </w:r>
          </w:p>
        </w:tc>
        <w:tc>
          <w:tcPr>
            <w:tcW w:w="1134" w:type="dxa"/>
            <w:shd w:val="clear" w:color="auto" w:fill="auto"/>
            <w:noWrap/>
            <w:vAlign w:val="center"/>
          </w:tcPr>
          <w:p w14:paraId="219B381C" w14:textId="77777777" w:rsidR="004D6893" w:rsidRPr="00A30E44" w:rsidRDefault="004D6893" w:rsidP="008C0492">
            <w:pPr>
              <w:pStyle w:val="af7"/>
              <w:jc w:val="center"/>
            </w:pPr>
            <w:r w:rsidRPr="00A30E44">
              <w:t>1788</w:t>
            </w:r>
          </w:p>
        </w:tc>
        <w:tc>
          <w:tcPr>
            <w:tcW w:w="1558" w:type="dxa"/>
            <w:vAlign w:val="center"/>
          </w:tcPr>
          <w:p w14:paraId="5AC446F0" w14:textId="77777777" w:rsidR="004D6893" w:rsidRPr="00A30E44" w:rsidRDefault="004D6893" w:rsidP="008C0492">
            <w:pPr>
              <w:pStyle w:val="af7"/>
              <w:jc w:val="center"/>
            </w:pPr>
            <w:r w:rsidRPr="00A30E44">
              <w:t>98,6%</w:t>
            </w:r>
          </w:p>
        </w:tc>
        <w:tc>
          <w:tcPr>
            <w:tcW w:w="994" w:type="dxa"/>
            <w:vAlign w:val="center"/>
          </w:tcPr>
          <w:p w14:paraId="36E24AF1" w14:textId="77777777" w:rsidR="004D6893" w:rsidRPr="00A30E44" w:rsidRDefault="004D6893" w:rsidP="008C0492">
            <w:pPr>
              <w:pStyle w:val="af7"/>
              <w:jc w:val="center"/>
            </w:pPr>
            <w:r w:rsidRPr="00A30E44">
              <w:t>-70</w:t>
            </w:r>
          </w:p>
        </w:tc>
        <w:tc>
          <w:tcPr>
            <w:tcW w:w="1276" w:type="dxa"/>
            <w:vAlign w:val="center"/>
          </w:tcPr>
          <w:p w14:paraId="2261CCA7" w14:textId="77777777" w:rsidR="004D6893" w:rsidRPr="00A30E44" w:rsidRDefault="004D6893" w:rsidP="008C0492">
            <w:pPr>
              <w:pStyle w:val="af7"/>
              <w:jc w:val="center"/>
            </w:pPr>
            <w:r w:rsidRPr="00A30E44">
              <w:t>20</w:t>
            </w:r>
          </w:p>
        </w:tc>
        <w:tc>
          <w:tcPr>
            <w:tcW w:w="1134" w:type="dxa"/>
            <w:vAlign w:val="center"/>
          </w:tcPr>
          <w:p w14:paraId="1CF4F8FD" w14:textId="77777777" w:rsidR="004D6893" w:rsidRPr="00A30E44" w:rsidRDefault="004D6893" w:rsidP="008C0492">
            <w:pPr>
              <w:pStyle w:val="af7"/>
              <w:jc w:val="center"/>
            </w:pPr>
            <w:r w:rsidRPr="00A30E44">
              <w:t>30</w:t>
            </w:r>
          </w:p>
        </w:tc>
        <w:tc>
          <w:tcPr>
            <w:tcW w:w="1545" w:type="dxa"/>
            <w:vAlign w:val="center"/>
          </w:tcPr>
          <w:p w14:paraId="7D00BEF9" w14:textId="77777777" w:rsidR="004D6893" w:rsidRPr="00A30E44" w:rsidRDefault="004D6893" w:rsidP="008C0492">
            <w:pPr>
              <w:pStyle w:val="af7"/>
              <w:jc w:val="center"/>
            </w:pPr>
            <w:r w:rsidRPr="00A30E44">
              <w:t>н/д</w:t>
            </w:r>
          </w:p>
        </w:tc>
      </w:tr>
      <w:tr w:rsidR="004D6893" w:rsidRPr="00A30E44" w14:paraId="07B044CB" w14:textId="77777777" w:rsidTr="002B39E5">
        <w:trPr>
          <w:trHeight w:val="342"/>
        </w:trPr>
        <w:tc>
          <w:tcPr>
            <w:tcW w:w="1702" w:type="dxa"/>
            <w:shd w:val="clear" w:color="auto" w:fill="auto"/>
            <w:noWrap/>
            <w:vAlign w:val="center"/>
          </w:tcPr>
          <w:p w14:paraId="685F00C2" w14:textId="635CC8C1" w:rsidR="004D6893" w:rsidRPr="00A30E44" w:rsidRDefault="00037BDB" w:rsidP="008C0492">
            <w:pPr>
              <w:pStyle w:val="af7"/>
            </w:pPr>
            <w:r w:rsidRPr="00A30E44">
              <w:t>с</w:t>
            </w:r>
            <w:r w:rsidR="004D6893" w:rsidRPr="00A30E44">
              <w:t>п. Каркатеевы</w:t>
            </w:r>
          </w:p>
        </w:tc>
        <w:tc>
          <w:tcPr>
            <w:tcW w:w="1134" w:type="dxa"/>
            <w:shd w:val="clear" w:color="auto" w:fill="auto"/>
            <w:noWrap/>
            <w:vAlign w:val="center"/>
          </w:tcPr>
          <w:p w14:paraId="1FACF83B" w14:textId="77777777" w:rsidR="004D6893" w:rsidRPr="00A30E44" w:rsidRDefault="004D6893" w:rsidP="008C0492">
            <w:pPr>
              <w:pStyle w:val="af7"/>
              <w:jc w:val="center"/>
            </w:pPr>
            <w:r w:rsidRPr="00A30E44">
              <w:t>1738</w:t>
            </w:r>
          </w:p>
        </w:tc>
        <w:tc>
          <w:tcPr>
            <w:tcW w:w="1558" w:type="dxa"/>
            <w:vAlign w:val="center"/>
          </w:tcPr>
          <w:p w14:paraId="49BBBC89" w14:textId="77777777" w:rsidR="004D6893" w:rsidRPr="00A30E44" w:rsidRDefault="004D6893" w:rsidP="008C0492">
            <w:pPr>
              <w:pStyle w:val="af7"/>
              <w:jc w:val="center"/>
            </w:pPr>
            <w:r w:rsidRPr="00A30E44">
              <w:t>95,2%</w:t>
            </w:r>
          </w:p>
        </w:tc>
        <w:tc>
          <w:tcPr>
            <w:tcW w:w="994" w:type="dxa"/>
            <w:vAlign w:val="center"/>
          </w:tcPr>
          <w:p w14:paraId="423CAA16" w14:textId="77777777" w:rsidR="004D6893" w:rsidRPr="00A30E44" w:rsidRDefault="004D6893" w:rsidP="008C0492">
            <w:pPr>
              <w:pStyle w:val="af7"/>
              <w:jc w:val="center"/>
            </w:pPr>
            <w:r w:rsidRPr="00A30E44">
              <w:t>-23</w:t>
            </w:r>
          </w:p>
        </w:tc>
        <w:tc>
          <w:tcPr>
            <w:tcW w:w="1276" w:type="dxa"/>
            <w:vAlign w:val="center"/>
          </w:tcPr>
          <w:p w14:paraId="2C55F16C" w14:textId="77777777" w:rsidR="004D6893" w:rsidRPr="00A30E44" w:rsidRDefault="004D6893" w:rsidP="008C0492">
            <w:pPr>
              <w:pStyle w:val="af7"/>
              <w:jc w:val="center"/>
            </w:pPr>
            <w:r w:rsidRPr="00A30E44">
              <w:t>9</w:t>
            </w:r>
          </w:p>
        </w:tc>
        <w:tc>
          <w:tcPr>
            <w:tcW w:w="1134" w:type="dxa"/>
            <w:vAlign w:val="center"/>
          </w:tcPr>
          <w:p w14:paraId="781B977E" w14:textId="77777777" w:rsidR="004D6893" w:rsidRPr="00A30E44" w:rsidRDefault="004D6893" w:rsidP="008C0492">
            <w:pPr>
              <w:pStyle w:val="af7"/>
              <w:jc w:val="center"/>
            </w:pPr>
            <w:r w:rsidRPr="00A30E44">
              <w:t>0</w:t>
            </w:r>
          </w:p>
        </w:tc>
        <w:tc>
          <w:tcPr>
            <w:tcW w:w="1545" w:type="dxa"/>
            <w:vAlign w:val="center"/>
          </w:tcPr>
          <w:p w14:paraId="558FC61E" w14:textId="77777777" w:rsidR="004D6893" w:rsidRPr="00A30E44" w:rsidRDefault="004D6893" w:rsidP="008C0492">
            <w:pPr>
              <w:pStyle w:val="af7"/>
              <w:jc w:val="center"/>
            </w:pPr>
            <w:r w:rsidRPr="00A30E44">
              <w:t>1</w:t>
            </w:r>
          </w:p>
        </w:tc>
      </w:tr>
      <w:tr w:rsidR="004D6893" w:rsidRPr="00A30E44" w14:paraId="00DC628D" w14:textId="77777777" w:rsidTr="002B39E5">
        <w:trPr>
          <w:trHeight w:val="300"/>
        </w:trPr>
        <w:tc>
          <w:tcPr>
            <w:tcW w:w="1702" w:type="dxa"/>
            <w:shd w:val="clear" w:color="auto" w:fill="auto"/>
            <w:noWrap/>
            <w:vAlign w:val="center"/>
            <w:hideMark/>
          </w:tcPr>
          <w:p w14:paraId="104BD5B3" w14:textId="6978CBA9" w:rsidR="004D6893" w:rsidRPr="00A30E44" w:rsidRDefault="00037BDB" w:rsidP="008C0492">
            <w:pPr>
              <w:pStyle w:val="af7"/>
            </w:pPr>
            <w:r w:rsidRPr="00A30E44">
              <w:t>с</w:t>
            </w:r>
            <w:r w:rsidR="004D6893" w:rsidRPr="00A30E44">
              <w:t>п. Сентябрьский</w:t>
            </w:r>
          </w:p>
        </w:tc>
        <w:tc>
          <w:tcPr>
            <w:tcW w:w="1134" w:type="dxa"/>
            <w:shd w:val="clear" w:color="auto" w:fill="auto"/>
            <w:noWrap/>
            <w:vAlign w:val="center"/>
            <w:hideMark/>
          </w:tcPr>
          <w:p w14:paraId="4851DF1C" w14:textId="77777777" w:rsidR="004D6893" w:rsidRPr="00A30E44" w:rsidRDefault="004D6893" w:rsidP="008C0492">
            <w:pPr>
              <w:pStyle w:val="af7"/>
              <w:jc w:val="center"/>
            </w:pPr>
            <w:r w:rsidRPr="00A30E44">
              <w:t>1573</w:t>
            </w:r>
          </w:p>
        </w:tc>
        <w:tc>
          <w:tcPr>
            <w:tcW w:w="1558" w:type="dxa"/>
            <w:vAlign w:val="center"/>
          </w:tcPr>
          <w:p w14:paraId="07E92006" w14:textId="77777777" w:rsidR="004D6893" w:rsidRPr="00A30E44" w:rsidRDefault="004D6893" w:rsidP="008C0492">
            <w:pPr>
              <w:pStyle w:val="af7"/>
              <w:jc w:val="center"/>
            </w:pPr>
            <w:r w:rsidRPr="00A30E44">
              <w:t>104,8%</w:t>
            </w:r>
          </w:p>
        </w:tc>
        <w:tc>
          <w:tcPr>
            <w:tcW w:w="994" w:type="dxa"/>
            <w:vAlign w:val="center"/>
          </w:tcPr>
          <w:p w14:paraId="157E3A68" w14:textId="77777777" w:rsidR="004D6893" w:rsidRPr="00A30E44" w:rsidRDefault="004D6893" w:rsidP="008C0492">
            <w:pPr>
              <w:pStyle w:val="af7"/>
              <w:jc w:val="center"/>
            </w:pPr>
            <w:r w:rsidRPr="00A30E44">
              <w:t>30</w:t>
            </w:r>
          </w:p>
        </w:tc>
        <w:tc>
          <w:tcPr>
            <w:tcW w:w="1276" w:type="dxa"/>
            <w:vAlign w:val="center"/>
          </w:tcPr>
          <w:p w14:paraId="26937269" w14:textId="77777777" w:rsidR="004D6893" w:rsidRPr="00A30E44" w:rsidRDefault="004D6893" w:rsidP="008C0492">
            <w:pPr>
              <w:pStyle w:val="af7"/>
              <w:jc w:val="center"/>
            </w:pPr>
            <w:r w:rsidRPr="00A30E44">
              <w:t>3</w:t>
            </w:r>
          </w:p>
        </w:tc>
        <w:tc>
          <w:tcPr>
            <w:tcW w:w="1134" w:type="dxa"/>
            <w:vAlign w:val="center"/>
          </w:tcPr>
          <w:p w14:paraId="0198FCB1" w14:textId="77777777" w:rsidR="004D6893" w:rsidRPr="00A30E44" w:rsidRDefault="004D6893" w:rsidP="008C0492">
            <w:pPr>
              <w:pStyle w:val="af7"/>
              <w:jc w:val="center"/>
            </w:pPr>
            <w:r w:rsidRPr="00A30E44">
              <w:t>0</w:t>
            </w:r>
          </w:p>
        </w:tc>
        <w:tc>
          <w:tcPr>
            <w:tcW w:w="1545" w:type="dxa"/>
            <w:vAlign w:val="center"/>
          </w:tcPr>
          <w:p w14:paraId="6522BDE8" w14:textId="77777777" w:rsidR="004D6893" w:rsidRPr="00A30E44" w:rsidRDefault="004D6893" w:rsidP="008C0492">
            <w:pPr>
              <w:pStyle w:val="af7"/>
              <w:jc w:val="center"/>
            </w:pPr>
            <w:r w:rsidRPr="00A30E44">
              <w:t>1</w:t>
            </w:r>
          </w:p>
        </w:tc>
      </w:tr>
      <w:tr w:rsidR="004D6893" w:rsidRPr="00A30E44" w14:paraId="73CDEB5A" w14:textId="77777777" w:rsidTr="002B39E5">
        <w:trPr>
          <w:trHeight w:val="300"/>
        </w:trPr>
        <w:tc>
          <w:tcPr>
            <w:tcW w:w="1702" w:type="dxa"/>
            <w:shd w:val="clear" w:color="auto" w:fill="auto"/>
            <w:noWrap/>
            <w:vAlign w:val="center"/>
          </w:tcPr>
          <w:p w14:paraId="21BD5E11" w14:textId="1B0CC9C6" w:rsidR="004D6893" w:rsidRPr="00A30E44" w:rsidRDefault="00037BDB" w:rsidP="008C0492">
            <w:pPr>
              <w:pStyle w:val="af7"/>
            </w:pPr>
            <w:r w:rsidRPr="00A30E44">
              <w:t>с</w:t>
            </w:r>
            <w:r w:rsidR="004D6893" w:rsidRPr="00A30E44">
              <w:t>п. Лемпино</w:t>
            </w:r>
          </w:p>
        </w:tc>
        <w:tc>
          <w:tcPr>
            <w:tcW w:w="1134" w:type="dxa"/>
            <w:shd w:val="clear" w:color="auto" w:fill="auto"/>
            <w:noWrap/>
            <w:vAlign w:val="center"/>
          </w:tcPr>
          <w:p w14:paraId="78CE7768" w14:textId="77777777" w:rsidR="004D6893" w:rsidRPr="00A30E44" w:rsidRDefault="004D6893" w:rsidP="008C0492">
            <w:pPr>
              <w:pStyle w:val="af7"/>
              <w:jc w:val="center"/>
            </w:pPr>
            <w:r w:rsidRPr="00A30E44">
              <w:t>391</w:t>
            </w:r>
          </w:p>
        </w:tc>
        <w:tc>
          <w:tcPr>
            <w:tcW w:w="1558" w:type="dxa"/>
            <w:vAlign w:val="center"/>
          </w:tcPr>
          <w:p w14:paraId="23C7D631" w14:textId="77777777" w:rsidR="004D6893" w:rsidRPr="00A30E44" w:rsidRDefault="004D6893" w:rsidP="008C0492">
            <w:pPr>
              <w:pStyle w:val="af7"/>
              <w:jc w:val="center"/>
            </w:pPr>
            <w:r w:rsidRPr="00A30E44">
              <w:t>81,1%</w:t>
            </w:r>
          </w:p>
        </w:tc>
        <w:tc>
          <w:tcPr>
            <w:tcW w:w="994" w:type="dxa"/>
            <w:vAlign w:val="center"/>
          </w:tcPr>
          <w:p w14:paraId="4470EC58" w14:textId="77777777" w:rsidR="004D6893" w:rsidRPr="00A30E44" w:rsidRDefault="004D6893" w:rsidP="008C0492">
            <w:pPr>
              <w:pStyle w:val="af7"/>
              <w:jc w:val="center"/>
            </w:pPr>
            <w:r w:rsidRPr="00A30E44">
              <w:t>-83</w:t>
            </w:r>
          </w:p>
        </w:tc>
        <w:tc>
          <w:tcPr>
            <w:tcW w:w="1276" w:type="dxa"/>
            <w:vAlign w:val="center"/>
          </w:tcPr>
          <w:p w14:paraId="3B27BDF1" w14:textId="77777777" w:rsidR="004D6893" w:rsidRPr="00A30E44" w:rsidRDefault="004D6893" w:rsidP="008C0492">
            <w:pPr>
              <w:pStyle w:val="af7"/>
              <w:jc w:val="center"/>
            </w:pPr>
            <w:r w:rsidRPr="00A30E44">
              <w:t>3</w:t>
            </w:r>
          </w:p>
        </w:tc>
        <w:tc>
          <w:tcPr>
            <w:tcW w:w="1134" w:type="dxa"/>
            <w:vAlign w:val="center"/>
          </w:tcPr>
          <w:p w14:paraId="7EAE9572" w14:textId="77777777" w:rsidR="004D6893" w:rsidRPr="00A30E44" w:rsidRDefault="004D6893" w:rsidP="008C0492">
            <w:pPr>
              <w:pStyle w:val="af7"/>
              <w:jc w:val="center"/>
            </w:pPr>
            <w:r w:rsidRPr="00A30E44">
              <w:t>0</w:t>
            </w:r>
          </w:p>
        </w:tc>
        <w:tc>
          <w:tcPr>
            <w:tcW w:w="1545" w:type="dxa"/>
            <w:vAlign w:val="center"/>
          </w:tcPr>
          <w:p w14:paraId="0AA840E3" w14:textId="77777777" w:rsidR="004D6893" w:rsidRPr="00A30E44" w:rsidRDefault="004D6893" w:rsidP="008C0492">
            <w:pPr>
              <w:pStyle w:val="af7"/>
              <w:jc w:val="center"/>
            </w:pPr>
            <w:r w:rsidRPr="00A30E44">
              <w:t>0</w:t>
            </w:r>
          </w:p>
        </w:tc>
      </w:tr>
    </w:tbl>
    <w:p w14:paraId="3DCABFF3" w14:textId="77777777" w:rsidR="004D6893" w:rsidRPr="008C0492" w:rsidRDefault="004D6893" w:rsidP="00A93D7F">
      <w:pPr>
        <w:rPr>
          <w:sz w:val="20"/>
          <w:szCs w:val="20"/>
        </w:rPr>
      </w:pPr>
      <w:r w:rsidRPr="008C0492">
        <w:rPr>
          <w:sz w:val="20"/>
          <w:szCs w:val="20"/>
        </w:rPr>
        <w:lastRenderedPageBreak/>
        <w:t>Источник: Росстат, База данных муниципальных образований</w:t>
      </w:r>
    </w:p>
    <w:p w14:paraId="2632A89E" w14:textId="77777777" w:rsidR="004D6893" w:rsidRPr="008031B0" w:rsidRDefault="004D6893" w:rsidP="00A93D7F"/>
    <w:p w14:paraId="007B78FD" w14:textId="77777777" w:rsidR="004D6893" w:rsidRDefault="004D6893" w:rsidP="00A93D7F">
      <w:r>
        <w:t>Миграционные процессы продолжаю</w:t>
      </w:r>
      <w:r w:rsidRPr="008031B0">
        <w:t>т играть важную роль в демографическом развитии Нефтеюганского района, обеспечивая прирост и омоложение населения.</w:t>
      </w:r>
      <w:r w:rsidRPr="00087A58">
        <w:t xml:space="preserve"> </w:t>
      </w:r>
      <w:r w:rsidRPr="008031B0">
        <w:t>Миграционное движение характеризуется притоком мигрантов в трудоспособном возрасте</w:t>
      </w:r>
      <w:r>
        <w:t xml:space="preserve">, что </w:t>
      </w:r>
      <w:r w:rsidRPr="008031B0">
        <w:t xml:space="preserve">в большей степени связано с особенностями специализации района в </w:t>
      </w:r>
      <w:r>
        <w:t>нефтедобывающей отрасли</w:t>
      </w:r>
      <w:r w:rsidRPr="008031B0">
        <w:t>. При</w:t>
      </w:r>
      <w:r>
        <w:t>ток мигрантов объясняется устой</w:t>
      </w:r>
      <w:r w:rsidRPr="008031B0">
        <w:t xml:space="preserve">чивым ростом экономики </w:t>
      </w:r>
      <w:r>
        <w:t xml:space="preserve">района </w:t>
      </w:r>
      <w:r w:rsidRPr="008031B0">
        <w:t xml:space="preserve">при </w:t>
      </w:r>
      <w:r>
        <w:t>сохранении невысоких темпов</w:t>
      </w:r>
      <w:r w:rsidRPr="008031B0">
        <w:t xml:space="preserve"> роста производительности труда, что </w:t>
      </w:r>
      <w:r>
        <w:t>создает</w:t>
      </w:r>
      <w:r w:rsidRPr="008031B0">
        <w:t xml:space="preserve"> дополн</w:t>
      </w:r>
      <w:r>
        <w:t>ительный</w:t>
      </w:r>
      <w:r w:rsidRPr="008031B0">
        <w:t xml:space="preserve"> спрос на рынке труда</w:t>
      </w:r>
      <w:r>
        <w:t xml:space="preserve">. </w:t>
      </w:r>
    </w:p>
    <w:p w14:paraId="1BDD2F3F" w14:textId="77777777" w:rsidR="004D6893" w:rsidRPr="00AD24C5" w:rsidRDefault="004D6893" w:rsidP="00A93D7F">
      <w:pPr>
        <w:rPr>
          <w:color w:val="000000" w:themeColor="text1"/>
        </w:rPr>
      </w:pPr>
      <w:r>
        <w:t>В то же время, негативным трендом является отток</w:t>
      </w:r>
      <w:r w:rsidRPr="008031B0">
        <w:t xml:space="preserve"> населения в возрасте старше трудоспособного</w:t>
      </w:r>
      <w:r>
        <w:t xml:space="preserve"> в крупные региональные центры – г. Сургут, г. Нефтеюганск и г. Ханты-Мансийск, а также в соседние регионы.</w:t>
      </w:r>
      <w:r w:rsidRPr="00DA34D1">
        <w:t xml:space="preserve"> </w:t>
      </w:r>
      <w:r w:rsidRPr="00D12DEB">
        <w:t>Это становится особенно актуальным в условиях, когда высокие доходы больше не являются основным ст</w:t>
      </w:r>
      <w:r>
        <w:t xml:space="preserve">имулом для проживания на территории: </w:t>
      </w:r>
      <w:r w:rsidRPr="008031B0">
        <w:t xml:space="preserve">сохраняющаяся тенденция повышения уровня и качества жизни </w:t>
      </w:r>
      <w:r>
        <w:t>будет</w:t>
      </w:r>
      <w:r w:rsidRPr="008031B0">
        <w:t xml:space="preserve"> </w:t>
      </w:r>
      <w:r>
        <w:t xml:space="preserve">и в перспективе </w:t>
      </w:r>
      <w:r w:rsidRPr="00AD24C5">
        <w:rPr>
          <w:color w:val="000000" w:themeColor="text1"/>
        </w:rPr>
        <w:t xml:space="preserve">способствовать более интенсивному оттоку населения в возрасте старше трудоспособного за пределы района. </w:t>
      </w:r>
    </w:p>
    <w:p w14:paraId="0F6A333F" w14:textId="77777777" w:rsidR="004D6893" w:rsidRPr="00AD24C5" w:rsidRDefault="004D6893" w:rsidP="00A93D7F">
      <w:r w:rsidRPr="00AD24C5">
        <w:t>На миграционные настроения населения негативное влияние также оказывает состояние жилищно-коммунальной инфраструктуры: высокий уровень износа жилищного фонда и аварийное состояние жилья, недостаточная обеспеченность населения жилыми площадями, недостаток нового жилья с различными потребительскими характеристиками для разных категорий населения. Географические и климатические условия автономного округа проявляют себя в издержках на жизнеобеспечение, повышенных расходах на проживание населения, обеспечение необходимого уровня услуг и инфраструктурной обустроенности. Компенсация расходов на строительство инженерной инфраструктуры проводится в рамках государственной программы «Обеспечение доступным и комфортным жильем жителей Ханты-Мансийского автономного округа – Югры в 2016-2020 годах», однако эффект от средств, требуемых на строительство сетей для малоэтажных жилых домов в поселках, несравнимо мал по сравнению с эффектом от строительства сетей для многоэтажных домов.</w:t>
      </w:r>
      <w:r>
        <w:t xml:space="preserve"> </w:t>
      </w:r>
    </w:p>
    <w:p w14:paraId="783CAF11" w14:textId="77777777" w:rsidR="004D6893" w:rsidRPr="004B3F32" w:rsidRDefault="004D6893" w:rsidP="00A93D7F"/>
    <w:p w14:paraId="4B152A0E" w14:textId="77777777" w:rsidR="004D6893" w:rsidRPr="0007739F" w:rsidRDefault="004D6893" w:rsidP="00A93D7F">
      <w:pPr>
        <w:rPr>
          <w:i/>
        </w:rPr>
      </w:pPr>
      <w:r w:rsidRPr="0007739F">
        <w:rPr>
          <w:i/>
        </w:rPr>
        <w:t>Размещение производительных сил и условия их инновационного развития</w:t>
      </w:r>
    </w:p>
    <w:p w14:paraId="05FB3B86" w14:textId="77777777" w:rsidR="004D6893" w:rsidRDefault="004D6893" w:rsidP="00A93D7F">
      <w:r>
        <w:t xml:space="preserve">Одним из ключевых приоритетов территориального развития, обозначенных в Стратегии социально-экономического развития Ханты-Мансийского автономного округа – Югры до 2020 года и на период до 2030 года, обозначено </w:t>
      </w:r>
      <w:r>
        <w:rPr>
          <w:color w:val="000000"/>
        </w:rPr>
        <w:t>ф</w:t>
      </w:r>
      <w:r w:rsidRPr="00656013">
        <w:rPr>
          <w:color w:val="000000"/>
        </w:rPr>
        <w:t xml:space="preserve">ормирование опорных зон </w:t>
      </w:r>
      <w:r>
        <w:rPr>
          <w:color w:val="000000"/>
        </w:rPr>
        <w:t xml:space="preserve">социально-экономического </w:t>
      </w:r>
      <w:r w:rsidRPr="00656013">
        <w:rPr>
          <w:color w:val="000000"/>
        </w:rPr>
        <w:t>развития</w:t>
      </w:r>
      <w:r>
        <w:rPr>
          <w:color w:val="000000"/>
        </w:rPr>
        <w:t xml:space="preserve"> на базе муниципальных районов </w:t>
      </w:r>
      <w:r w:rsidRPr="00656013">
        <w:rPr>
          <w:color w:val="000000"/>
        </w:rPr>
        <w:t>за счет насыщения т</w:t>
      </w:r>
      <w:r>
        <w:rPr>
          <w:color w:val="000000"/>
        </w:rPr>
        <w:t>ерриторий объектами промышленно</w:t>
      </w:r>
      <w:r w:rsidRPr="00656013">
        <w:rPr>
          <w:color w:val="000000"/>
        </w:rPr>
        <w:t>сти и агропромышленного комплекса, обес</w:t>
      </w:r>
      <w:r>
        <w:rPr>
          <w:color w:val="000000"/>
        </w:rPr>
        <w:t>печивающих занятость населения и создающих предпосылки</w:t>
      </w:r>
      <w:r w:rsidRPr="00656013">
        <w:rPr>
          <w:color w:val="000000"/>
        </w:rPr>
        <w:t xml:space="preserve"> для закрепления местного населения. </w:t>
      </w:r>
      <w:r>
        <w:t>Б</w:t>
      </w:r>
      <w:r w:rsidRPr="00257D11">
        <w:t xml:space="preserve">азовым сектором </w:t>
      </w:r>
      <w:r>
        <w:t>экономической специализации</w:t>
      </w:r>
      <w:r w:rsidRPr="00257D11">
        <w:t xml:space="preserve"> Нефтеюганского района является </w:t>
      </w:r>
      <w:r>
        <w:t>н</w:t>
      </w:r>
      <w:r w:rsidRPr="00257D11">
        <w:t>ефте</w:t>
      </w:r>
      <w:r>
        <w:t xml:space="preserve">добывающая промышленность, в </w:t>
      </w:r>
      <w:r w:rsidRPr="00257D11">
        <w:t xml:space="preserve">связи с этом, формирование секторальных пропорций экономики, а также масштабы ее диверсификации в долгосрочной перспективе в значительной степени определяются развитием </w:t>
      </w:r>
      <w:r>
        <w:t xml:space="preserve">именно </w:t>
      </w:r>
      <w:r w:rsidRPr="00257D11">
        <w:t xml:space="preserve">базового сектора. </w:t>
      </w:r>
    </w:p>
    <w:p w14:paraId="12272E64" w14:textId="77777777" w:rsidR="004D6893" w:rsidRDefault="004D6893" w:rsidP="00A93D7F">
      <w:r>
        <w:t>Нефтеюганский район</w:t>
      </w:r>
      <w:r w:rsidRPr="00656013">
        <w:t xml:space="preserve"> </w:t>
      </w:r>
      <w:r>
        <w:t>является</w:t>
      </w:r>
      <w:r w:rsidRPr="00656013">
        <w:t xml:space="preserve"> </w:t>
      </w:r>
      <w:r>
        <w:t xml:space="preserve">частью </w:t>
      </w:r>
      <w:r w:rsidRPr="00656013">
        <w:t>нефтегазового кластера нефтегазодобычи, нефтегазоперерабатывающей и нефтегазохимической промышленности</w:t>
      </w:r>
      <w:r>
        <w:t xml:space="preserve"> Ханты-Мансийского автономного округа</w:t>
      </w:r>
      <w:r w:rsidRPr="006C7267">
        <w:t xml:space="preserve"> </w:t>
      </w:r>
      <w:r>
        <w:t xml:space="preserve">(в состав кластера также входят Нижневартовский и Сургутский районы). Ключевой специализацией района в долгосрочной перспективе остается </w:t>
      </w:r>
      <w:r w:rsidRPr="00656013">
        <w:t xml:space="preserve">разработка </w:t>
      </w:r>
      <w:r>
        <w:t>трудноизвлекаемых запасов нефти, при этом связность территории, входящей в состав кластера, будет обеспечиваться посредством развития транспортно-логистического комплекса, в т.ч. на территории Нефтеюганского района.</w:t>
      </w:r>
    </w:p>
    <w:p w14:paraId="069ED0FC" w14:textId="77777777" w:rsidR="004D6893" w:rsidRDefault="004D6893" w:rsidP="00A93D7F">
      <w:r>
        <w:t xml:space="preserve">Развитие отрасли обрабатывающей промышленности, не связанной с «обслуживанием» нефтегазового сектора, определяется созданием предприятий по </w:t>
      </w:r>
      <w:r>
        <w:lastRenderedPageBreak/>
        <w:t>производству строительных материалов на базе собственного сырья (общераспространенных минеральных ресурсов). Создание и развитие указанных производств, в свою очередь, станет частью комплексного решения проблемы жилищного строительства на территории Нефтеюганского района и соседних муниципальных образований в части ресурсного обеспечения строительной отрасли и создания локальных</w:t>
      </w:r>
      <w:r w:rsidRPr="009C50B5">
        <w:t xml:space="preserve"> точек реализации </w:t>
      </w:r>
      <w:r>
        <w:t xml:space="preserve">доступных по цене строительных материалов. </w:t>
      </w:r>
    </w:p>
    <w:p w14:paraId="15C41928" w14:textId="77777777" w:rsidR="004D6893" w:rsidRPr="00D329D6" w:rsidRDefault="004D6893" w:rsidP="00A93D7F">
      <w:r>
        <w:t xml:space="preserve">Стратегией </w:t>
      </w:r>
      <w:r w:rsidRPr="00D329D6">
        <w:t>социально-экономического развития Ханты-Мансийского автономного округа – Югры до 2020 года и на период до 2030 года обозначен ряд инвестиционных проектов по развитию производства строительных материалов на территории Нефтеюганского района:</w:t>
      </w:r>
    </w:p>
    <w:p w14:paraId="1F05E38F" w14:textId="77777777" w:rsidR="004D6893" w:rsidRPr="00D329D6" w:rsidRDefault="004D6893" w:rsidP="0007739F">
      <w:pPr>
        <w:pStyle w:val="a0"/>
        <w:numPr>
          <w:ilvl w:val="0"/>
          <w:numId w:val="10"/>
        </w:numPr>
        <w:ind w:left="1134" w:hanging="283"/>
      </w:pPr>
      <w:r w:rsidRPr="00D329D6">
        <w:t xml:space="preserve">разработка карьеров строительных материалов (глины, песка) и открытие на их базе заводов по производству строительных материалов; </w:t>
      </w:r>
    </w:p>
    <w:p w14:paraId="3FF79820" w14:textId="77777777" w:rsidR="004D6893" w:rsidRPr="00D329D6" w:rsidRDefault="004D6893" w:rsidP="0007739F">
      <w:pPr>
        <w:pStyle w:val="a0"/>
        <w:numPr>
          <w:ilvl w:val="0"/>
          <w:numId w:val="10"/>
        </w:numPr>
        <w:ind w:left="1134" w:hanging="283"/>
      </w:pPr>
      <w:r w:rsidRPr="00D329D6">
        <w:t xml:space="preserve">строительство кирпичного завода </w:t>
      </w:r>
      <w:r w:rsidRPr="00D329D6">
        <w:rPr>
          <w:rFonts w:cs="Calibri"/>
        </w:rPr>
        <w:t>мощностью 10-30 млн. шт. кирпича в год</w:t>
      </w:r>
      <w:r w:rsidRPr="00D329D6">
        <w:t xml:space="preserve"> на территории пгт. Пойковский; </w:t>
      </w:r>
    </w:p>
    <w:p w14:paraId="1893DFCA" w14:textId="77777777" w:rsidR="004D6893" w:rsidRPr="00D329D6" w:rsidRDefault="004D6893" w:rsidP="0007739F">
      <w:pPr>
        <w:pStyle w:val="a0"/>
        <w:numPr>
          <w:ilvl w:val="0"/>
          <w:numId w:val="10"/>
        </w:numPr>
        <w:ind w:left="1134" w:hanging="283"/>
      </w:pPr>
      <w:r w:rsidRPr="00D329D6">
        <w:t xml:space="preserve">строительство завода по изготовлению теплоизоляционный блоков из торфа «Геокар» на территории пгт. Пойковский; </w:t>
      </w:r>
    </w:p>
    <w:p w14:paraId="7BFD0BE4" w14:textId="77777777" w:rsidR="004D6893" w:rsidRPr="00D329D6" w:rsidRDefault="004D6893" w:rsidP="0007739F">
      <w:pPr>
        <w:pStyle w:val="a0"/>
        <w:numPr>
          <w:ilvl w:val="0"/>
          <w:numId w:val="10"/>
        </w:numPr>
        <w:ind w:left="1134" w:hanging="283"/>
      </w:pPr>
      <w:r w:rsidRPr="00D329D6">
        <w:t xml:space="preserve">создание производства дверных и оконных блоков. </w:t>
      </w:r>
    </w:p>
    <w:p w14:paraId="59683D35" w14:textId="175C7D07" w:rsidR="004D6893" w:rsidRDefault="004D6893" w:rsidP="00A93D7F">
      <w:r>
        <w:t xml:space="preserve">Определяющим фактором развития локальной обрабатывающей промышленности является высокая транспортная доступность Нефтеюганского района автомобильным и железнодорожным транспортом. По территории района проходит федеральная </w:t>
      </w:r>
      <w:r w:rsidRPr="0038116F">
        <w:t xml:space="preserve">автомобильная трасса </w:t>
      </w:r>
      <w:r w:rsidRPr="0038116F">
        <w:rPr>
          <w:rFonts w:eastAsia="Times New Roman"/>
          <w:bCs/>
          <w:color w:val="000000" w:themeColor="text1"/>
        </w:rPr>
        <w:t>Р404</w:t>
      </w:r>
      <w:r w:rsidRPr="0038116F">
        <w:rPr>
          <w:rFonts w:eastAsia="Times New Roman"/>
          <w:color w:val="000000" w:themeColor="text1"/>
          <w:shd w:val="clear" w:color="auto" w:fill="FFFFFF"/>
        </w:rPr>
        <w:t> </w:t>
      </w:r>
      <w:r>
        <w:rPr>
          <w:rFonts w:eastAsia="Times New Roman"/>
          <w:color w:val="000000" w:themeColor="text1"/>
          <w:shd w:val="clear" w:color="auto" w:fill="FFFFFF"/>
        </w:rPr>
        <w:t>«</w:t>
      </w:r>
      <w:r w:rsidRPr="005C5690">
        <w:rPr>
          <w:rFonts w:eastAsia="Times New Roman"/>
          <w:color w:val="000000" w:themeColor="text1"/>
          <w:shd w:val="clear" w:color="auto" w:fill="FFFFFF"/>
        </w:rPr>
        <w:t>Тюмень — Тобольск — Ханты-Мансийск</w:t>
      </w:r>
      <w:r>
        <w:rPr>
          <w:rFonts w:eastAsia="Times New Roman"/>
          <w:color w:val="000000" w:themeColor="text1"/>
          <w:shd w:val="clear" w:color="auto" w:fill="FFFFFF"/>
        </w:rPr>
        <w:t>» (ра</w:t>
      </w:r>
      <w:r w:rsidR="00037BDB">
        <w:rPr>
          <w:rFonts w:eastAsia="Times New Roman"/>
          <w:color w:val="000000" w:themeColor="text1"/>
          <w:shd w:val="clear" w:color="auto" w:fill="FFFFFF"/>
        </w:rPr>
        <w:t>сстояние по трассе от г</w:t>
      </w:r>
      <w:r>
        <w:rPr>
          <w:rFonts w:eastAsia="Times New Roman"/>
          <w:color w:val="000000" w:themeColor="text1"/>
          <w:shd w:val="clear" w:color="auto" w:fill="FFFFFF"/>
        </w:rPr>
        <w:t xml:space="preserve">п. Пойковский до г. Нефтеюганск – 56 </w:t>
      </w:r>
      <w:r w:rsidR="00037BDB">
        <w:rPr>
          <w:rFonts w:eastAsia="Times New Roman"/>
          <w:color w:val="000000" w:themeColor="text1"/>
          <w:shd w:val="clear" w:color="auto" w:fill="FFFFFF"/>
        </w:rPr>
        <w:t>км, до г. Сургут – 110 км; от с</w:t>
      </w:r>
      <w:r>
        <w:rPr>
          <w:rFonts w:eastAsia="Times New Roman"/>
          <w:color w:val="000000" w:themeColor="text1"/>
          <w:shd w:val="clear" w:color="auto" w:fill="FFFFFF"/>
        </w:rPr>
        <w:t>п. Салым до г. Нефтеюганск – 160 км, до г. Сургут – 220 км). Таким образом, спрос на продукцию обрабатывающей промышленности будет обеспечиваться не столько за счет внутреннего районного спроса, сколько за счет удовлетворения потребности в материалах крупных районных центров с более высоким уровнем спроса на жилье, и как следствие, объемами жилищного строительства.</w:t>
      </w:r>
      <w:r>
        <w:t xml:space="preserve"> Ключевой задачей остается развитие внутрирайонных связей и повышение транспортной связности территории муниципального района.</w:t>
      </w:r>
    </w:p>
    <w:p w14:paraId="0243D558" w14:textId="7C5B4CBA" w:rsidR="003106A1" w:rsidRPr="003106A1" w:rsidRDefault="003106A1" w:rsidP="00A93D7F">
      <w:r w:rsidRPr="00DC0845">
        <w:t xml:space="preserve">Результатом сложившейся системы размещения производительных сил и населения на территории района является разный уровень инфраструктурной обеспеченности сельскохозяйственного производства поселений, определяющей степень его товарности. Высоким уровнем инфраструктурной оснащенности характеризуются ареалы развития пригородного сельского хозяйства, сложившиеся вблизи основных точек нефтедобычи. В то же время, агропромышленное производство имеет довольно широкий территориальный охват, что делает возможным размещение агропредприятий как в основной зоне расселения, так в периферийной части района (с.п. Салым, с.п. Куть-Ях и с.п. Сентябрьский). </w:t>
      </w:r>
    </w:p>
    <w:p w14:paraId="37277A46" w14:textId="77777777" w:rsidR="004D6893" w:rsidRDefault="004D6893" w:rsidP="00A93D7F">
      <w:r>
        <w:t>Развитие агропромышленной отрасли</w:t>
      </w:r>
      <w:r w:rsidRPr="00656013">
        <w:t xml:space="preserve"> </w:t>
      </w:r>
      <w:r>
        <w:t>формируется</w:t>
      </w:r>
      <w:r w:rsidRPr="00656013">
        <w:t xml:space="preserve"> на базе развития традиционн</w:t>
      </w:r>
      <w:r>
        <w:t>ых отраслей сельского хозяйства – скотоводства, рыбоводства и рыболовства</w:t>
      </w:r>
      <w:r w:rsidRPr="00656013">
        <w:t>, сбор</w:t>
      </w:r>
      <w:r>
        <w:t>а дикоросов</w:t>
      </w:r>
      <w:r w:rsidRPr="00656013">
        <w:t>.</w:t>
      </w:r>
      <w:r>
        <w:t xml:space="preserve"> Учитывая наличие обширных лесных и водных ресурсов на территории района, развитие рыболовства, а также </w:t>
      </w:r>
      <w:r w:rsidRPr="00656013">
        <w:t>сбор</w:t>
      </w:r>
      <w:r>
        <w:t>а и переработки дикоросов малыми формами хозяйствования (личными подсобными</w:t>
      </w:r>
      <w:r w:rsidRPr="00656013">
        <w:t xml:space="preserve"> хозяйств</w:t>
      </w:r>
      <w:r>
        <w:t>ами, крестьянскими (фермерскими</w:t>
      </w:r>
      <w:r w:rsidRPr="00656013">
        <w:t>) хозяйств</w:t>
      </w:r>
      <w:r>
        <w:t>ами) являются основой увеличения самозанятости населения и формирования устойчивой системы расселения</w:t>
      </w:r>
      <w:r w:rsidRPr="00656013">
        <w:t xml:space="preserve"> </w:t>
      </w:r>
      <w:r>
        <w:t>района.</w:t>
      </w:r>
    </w:p>
    <w:p w14:paraId="1B0A7C9D" w14:textId="77777777" w:rsidR="003106A1" w:rsidRDefault="003106A1" w:rsidP="00A93D7F">
      <w:r w:rsidRPr="00DC0845">
        <w:t>Уникальность как туристической отрасли, так и размещения туристско-рекреационных ресурсов позволяет обеспечить развитие туризма на периферии муниципальных районов, создавая предпосылки для их экономического развития. Развитие туристической отрасли формирует предпосылки для создания рабочих мест и привлекательной рекреационной зоны как в пригородной части района (г.п. Пойковский, с.п. Лемпино), так и в более удаленной центральной и юго-западной части (с.п. Салым, с.п. Куть-Ях и с.п. Сентябрьский).</w:t>
      </w:r>
    </w:p>
    <w:p w14:paraId="6D548ABC" w14:textId="77777777" w:rsidR="0007739F" w:rsidRDefault="0007739F" w:rsidP="00AB6BBF">
      <w:pPr>
        <w:ind w:firstLine="0"/>
        <w:rPr>
          <w:i/>
        </w:rPr>
      </w:pPr>
    </w:p>
    <w:p w14:paraId="00844801" w14:textId="77777777" w:rsidR="004D6893" w:rsidRPr="0007739F" w:rsidRDefault="004D6893" w:rsidP="00A93D7F">
      <w:pPr>
        <w:rPr>
          <w:i/>
        </w:rPr>
      </w:pPr>
      <w:r w:rsidRPr="0007739F">
        <w:rPr>
          <w:i/>
        </w:rPr>
        <w:t>Влияние агломерационных процессов</w:t>
      </w:r>
    </w:p>
    <w:p w14:paraId="6DCAEDFB" w14:textId="77777777" w:rsidR="004D6893" w:rsidRDefault="004D6893" w:rsidP="00A93D7F">
      <w:pPr>
        <w:rPr>
          <w:rFonts w:ascii="Times" w:hAnsi="Times" w:cs="Times"/>
        </w:rPr>
      </w:pPr>
      <w:r w:rsidRPr="00D12DEB">
        <w:t>Пространственное развитие автономного округа имеет ярко выраженны</w:t>
      </w:r>
      <w:r>
        <w:t>й</w:t>
      </w:r>
      <w:r w:rsidRPr="00D12DEB">
        <w:t xml:space="preserve"> дисперсны</w:t>
      </w:r>
      <w:r>
        <w:t>й</w:t>
      </w:r>
      <w:r w:rsidRPr="00D12DEB">
        <w:t xml:space="preserve"> полицентрически</w:t>
      </w:r>
      <w:r>
        <w:t>й</w:t>
      </w:r>
      <w:r w:rsidRPr="00D12DEB">
        <w:t xml:space="preserve"> характер с доминированием крупных центров нефтяно</w:t>
      </w:r>
      <w:r>
        <w:t>й</w:t>
      </w:r>
      <w:r w:rsidRPr="00D12DEB">
        <w:t xml:space="preserve"> промышленности – Сургута, Нефтеюганска, Нижневартовска, Когалыма, а также </w:t>
      </w:r>
      <w:r>
        <w:t>Ханты-</w:t>
      </w:r>
      <w:r w:rsidRPr="00D12DEB">
        <w:t>Манси</w:t>
      </w:r>
      <w:r>
        <w:t>й</w:t>
      </w:r>
      <w:r w:rsidRPr="00D12DEB">
        <w:t xml:space="preserve">ска как административного центра округа. </w:t>
      </w:r>
      <w:r>
        <w:t>Особенность Ханты-Мансий</w:t>
      </w:r>
      <w:r w:rsidRPr="008031B0">
        <w:t xml:space="preserve">ского автономного округа – Югры, как и других регионов «нового освоения», – большая и сравнительно малонаселенная и инфраструктурно обеспеченная территория, </w:t>
      </w:r>
      <w:r>
        <w:t>определяющая недостаточную</w:t>
      </w:r>
      <w:r w:rsidRPr="008031B0">
        <w:t xml:space="preserve"> связность отдельных муниципальных образований. </w:t>
      </w:r>
    </w:p>
    <w:p w14:paraId="1D18A90D" w14:textId="77777777" w:rsidR="004D6893" w:rsidRDefault="004D6893" w:rsidP="00A93D7F">
      <w:r w:rsidRPr="00D716A5">
        <w:t>В целях устранения сложившихся диспропорций пространственного развития в автономном округе происходит формирование каркаса поселенческой структуры региона, состоящего из восьми городских агломераций: Большой Ханты-Мансийск, Нягань-Приобье, Югорск-Советский, Урай-Междуреченский, Березово-Игрим, Сургут-Нефтеюганск, Мегион-Нижневартовск и Покачи-Когалым. При этом агломерации получают приоритетную поддержку округа в реализации инфраструктурных проектов, стимулирующих интеграцию экономики и р</w:t>
      </w:r>
      <w:r>
        <w:t>ынков труда близлежащих городов, в частности:</w:t>
      </w:r>
      <w:r w:rsidRPr="00D716A5">
        <w:t xml:space="preserve"> </w:t>
      </w:r>
    </w:p>
    <w:p w14:paraId="561A2845" w14:textId="77777777" w:rsidR="004D6893" w:rsidRDefault="004D6893" w:rsidP="00A93D7F">
      <w:pPr>
        <w:pStyle w:val="a0"/>
        <w:numPr>
          <w:ilvl w:val="0"/>
          <w:numId w:val="11"/>
        </w:numPr>
      </w:pPr>
      <w:r>
        <w:t>проектов, направленных на развитие</w:t>
      </w:r>
      <w:r w:rsidRPr="00656013">
        <w:t xml:space="preserve"> межпоселенческих транспортных связей м</w:t>
      </w:r>
      <w:r>
        <w:t>ежду главными центрами «локальн</w:t>
      </w:r>
      <w:r w:rsidRPr="00656013">
        <w:t>ых агломераций» и отдале</w:t>
      </w:r>
      <w:r>
        <w:t>нными поселениями в их составе;</w:t>
      </w:r>
    </w:p>
    <w:p w14:paraId="4487C305" w14:textId="77777777" w:rsidR="004D6893" w:rsidRPr="000D1C8F" w:rsidRDefault="004D6893" w:rsidP="00A93D7F">
      <w:pPr>
        <w:pStyle w:val="a0"/>
        <w:numPr>
          <w:ilvl w:val="0"/>
          <w:numId w:val="11"/>
        </w:numPr>
        <w:rPr>
          <w:color w:val="000000"/>
        </w:rPr>
      </w:pPr>
      <w:r>
        <w:t xml:space="preserve">проектов, направленных на </w:t>
      </w:r>
      <w:r w:rsidRPr="00656013">
        <w:t xml:space="preserve">расширение межгрупповых взаимодействий; </w:t>
      </w:r>
    </w:p>
    <w:p w14:paraId="27517C7F" w14:textId="77777777" w:rsidR="004D6893" w:rsidRDefault="004D6893" w:rsidP="00A93D7F">
      <w:pPr>
        <w:pStyle w:val="a0"/>
        <w:numPr>
          <w:ilvl w:val="0"/>
          <w:numId w:val="11"/>
        </w:numPr>
      </w:pPr>
      <w:r>
        <w:t>проектов по активной модернизации жилищно-</w:t>
      </w:r>
      <w:r w:rsidRPr="00656013">
        <w:t>коммунального хозяйст</w:t>
      </w:r>
      <w:r>
        <w:t>ва</w:t>
      </w:r>
      <w:r w:rsidRPr="00656013">
        <w:t xml:space="preserve"> с целью создания комфортных условий для проживания населения. </w:t>
      </w:r>
    </w:p>
    <w:p w14:paraId="52123CD8" w14:textId="77777777" w:rsidR="00E866F6" w:rsidRDefault="00E866F6" w:rsidP="00A93D7F"/>
    <w:p w14:paraId="20B50A74" w14:textId="77777777" w:rsidR="00E866F6" w:rsidRDefault="00E866F6" w:rsidP="00A93D7F">
      <w:bookmarkStart w:id="62" w:name="_GoBack"/>
      <w:r w:rsidRPr="00E7089C">
        <w:rPr>
          <w:noProof/>
        </w:rPr>
        <w:drawing>
          <wp:inline distT="0" distB="0" distL="0" distR="0" wp14:anchorId="3CA22CF0" wp14:editId="2E37D218">
            <wp:extent cx="5340589" cy="4078703"/>
            <wp:effectExtent l="0" t="0" r="0" b="1079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screen">
                      <a:extLst>
                        <a:ext uri="{28A0092B-C50C-407E-A947-70E740481C1C}">
                          <a14:useLocalDpi xmlns:a14="http://schemas.microsoft.com/office/drawing/2010/main"/>
                        </a:ext>
                      </a:extLst>
                    </a:blip>
                    <a:stretch>
                      <a:fillRect/>
                    </a:stretch>
                  </pic:blipFill>
                  <pic:spPr>
                    <a:xfrm>
                      <a:off x="0" y="0"/>
                      <a:ext cx="5350597" cy="4086347"/>
                    </a:xfrm>
                    <a:prstGeom prst="rect">
                      <a:avLst/>
                    </a:prstGeom>
                  </pic:spPr>
                </pic:pic>
              </a:graphicData>
            </a:graphic>
          </wp:inline>
        </w:drawing>
      </w:r>
      <w:bookmarkEnd w:id="62"/>
    </w:p>
    <w:p w14:paraId="5C5ED1C4" w14:textId="77777777" w:rsidR="00E866F6" w:rsidRDefault="00E866F6" w:rsidP="00A93D7F">
      <w:pPr>
        <w:pStyle w:val="ac"/>
        <w:rPr>
          <w:color w:val="000000"/>
        </w:rPr>
      </w:pPr>
      <w:r>
        <w:t xml:space="preserve">Рисунок </w:t>
      </w:r>
      <w:fldSimple w:instr=" SEQ Рисунок \* ARABIC ">
        <w:r w:rsidR="00ED1BAA">
          <w:rPr>
            <w:noProof/>
          </w:rPr>
          <w:t>22</w:t>
        </w:r>
      </w:fldSimple>
      <w:r>
        <w:t xml:space="preserve"> </w:t>
      </w:r>
      <w:r w:rsidRPr="00CA21BD">
        <w:t>Пространственное развитие агломераций Сургут-Нефтеюганск и Большой Ханты-Мансийск</w:t>
      </w:r>
      <w:r>
        <w:t xml:space="preserve"> </w:t>
      </w:r>
    </w:p>
    <w:p w14:paraId="61BD9873" w14:textId="77777777" w:rsidR="00E866F6" w:rsidRDefault="00E866F6" w:rsidP="00A93D7F"/>
    <w:p w14:paraId="23DC229B" w14:textId="77777777" w:rsidR="00227FD3" w:rsidRPr="00656013" w:rsidRDefault="00227FD3" w:rsidP="00A93D7F">
      <w:r w:rsidRPr="00227FD3">
        <w:rPr>
          <w:rFonts w:ascii="Times" w:hAnsi="Times" w:cs="Times"/>
        </w:rPr>
        <w:lastRenderedPageBreak/>
        <w:t xml:space="preserve">Центром агломерации </w:t>
      </w:r>
      <w:r w:rsidRPr="00227FD3">
        <w:t xml:space="preserve">Сургут-Нефтеюганск, а также центром окружного нефтегазового кластера и ключевым рынком сбыта для близлежащих территорий является г. Сургут. В качестве одного из приоритетов пространственного развития в </w:t>
      </w:r>
      <w:r>
        <w:t xml:space="preserve">Стратегии </w:t>
      </w:r>
      <w:r w:rsidRPr="00227FD3">
        <w:rPr>
          <w:color w:val="000000" w:themeColor="text1"/>
        </w:rPr>
        <w:t xml:space="preserve">социально-экономического развития Ханты-Мансийского автономного округа – Югры определено </w:t>
      </w:r>
      <w:r w:rsidRPr="00656013">
        <w:t>изменение прост</w:t>
      </w:r>
      <w:r>
        <w:t>ранственной организации нефтедобывающей отрасли, в частности</w:t>
      </w:r>
      <w:r w:rsidRPr="00656013">
        <w:t xml:space="preserve"> </w:t>
      </w:r>
      <w:r>
        <w:t>создание</w:t>
      </w:r>
      <w:r w:rsidRPr="00656013">
        <w:t xml:space="preserve"> головных оф</w:t>
      </w:r>
      <w:r>
        <w:t>исов или представительств крупных нефтесервисных компаний, исследовательских центров</w:t>
      </w:r>
      <w:r w:rsidRPr="00656013">
        <w:t>, центров подготовки кадров, а также</w:t>
      </w:r>
      <w:r>
        <w:t xml:space="preserve"> крупнейших</w:t>
      </w:r>
      <w:r w:rsidRPr="00656013">
        <w:t xml:space="preserve"> транспор</w:t>
      </w:r>
      <w:r>
        <w:t>тно-логистических предприятий округа</w:t>
      </w:r>
      <w:r w:rsidRPr="00656013">
        <w:t xml:space="preserve"> </w:t>
      </w:r>
      <w:r>
        <w:t>в г. Сургут. Предполагаемые изменения коснутся пространственной организации всей территории агломерации, повышая конкурентоспособность и привлекательность г. Сургут для жителей соседних муниципальных образований.</w:t>
      </w:r>
    </w:p>
    <w:p w14:paraId="3E6CAC07" w14:textId="418E6478" w:rsidR="004D6893" w:rsidRPr="00E866F6" w:rsidRDefault="00227FD3" w:rsidP="00A93D7F">
      <w:r>
        <w:t>М</w:t>
      </w:r>
      <w:r w:rsidRPr="00D12DEB">
        <w:t>играция населения</w:t>
      </w:r>
      <w:r w:rsidRPr="0016528F">
        <w:t xml:space="preserve"> </w:t>
      </w:r>
      <w:r w:rsidRPr="00D12DEB">
        <w:t>является</w:t>
      </w:r>
      <w:r>
        <w:t xml:space="preserve"> важной</w:t>
      </w:r>
      <w:r w:rsidRPr="00D12DEB">
        <w:t xml:space="preserve"> формо</w:t>
      </w:r>
      <w:r>
        <w:t>й</w:t>
      </w:r>
      <w:r w:rsidRPr="00D12DEB">
        <w:t xml:space="preserve"> </w:t>
      </w:r>
      <w:r>
        <w:t>внутрирегиональных взаимодействий</w:t>
      </w:r>
      <w:r w:rsidRPr="00D12DEB">
        <w:t xml:space="preserve"> </w:t>
      </w:r>
      <w:r>
        <w:t>муниципальных образований</w:t>
      </w:r>
      <w:r w:rsidRPr="00D12DEB">
        <w:t>.</w:t>
      </w:r>
      <w:r w:rsidRPr="00F16DB1">
        <w:t xml:space="preserve"> </w:t>
      </w:r>
      <w:r>
        <w:t>В зонах влияния городов-</w:t>
      </w:r>
      <w:r w:rsidRPr="00656013">
        <w:t xml:space="preserve">центров </w:t>
      </w:r>
      <w:r>
        <w:t>агломераций основная часть м</w:t>
      </w:r>
      <w:r w:rsidRPr="00656013">
        <w:t xml:space="preserve">играционных предпочтений </w:t>
      </w:r>
      <w:r>
        <w:t>населения</w:t>
      </w:r>
      <w:r w:rsidRPr="00656013">
        <w:t xml:space="preserve"> связана </w:t>
      </w:r>
      <w:r>
        <w:t xml:space="preserve">не только с трудоустройством и </w:t>
      </w:r>
      <w:r w:rsidRPr="00656013">
        <w:t xml:space="preserve">увеличением ожидаемого дохода, </w:t>
      </w:r>
      <w:r>
        <w:t xml:space="preserve">но и с </w:t>
      </w:r>
      <w:r w:rsidRPr="00656013">
        <w:t>кач</w:t>
      </w:r>
      <w:r>
        <w:t>еством социальных и культурно-</w:t>
      </w:r>
      <w:r w:rsidRPr="00656013">
        <w:t>бытовых услуг</w:t>
      </w:r>
      <w:r>
        <w:t>, доступностью жилья, отвечающего различным потребительским характеристикам, и общим уровнем благоустройства территории</w:t>
      </w:r>
      <w:r w:rsidRPr="00656013">
        <w:t xml:space="preserve">. </w:t>
      </w:r>
      <w:r>
        <w:t xml:space="preserve">На основании анализа динамики миграционного прироста в муниципальных образованиях агломераций </w:t>
      </w:r>
      <w:r w:rsidRPr="00227FD3">
        <w:t>Сургут-Нефтеюганск и Большой Ханты-Мансийск, можно сделать выводы о влиянии близлежащих городов на миграционные настроения периферийных территорий, входящих в состав агломераций. Высокий положительный миграционный прирост в г. Ханты-Мансийск и, в особенности, г. Сургут свидетельствует о растущей привлекательности крупных региональных центров для жителей соседних территорий. В то же время, влияние г. Нефтеюганск на эмиграционные потоки из Нефтеюганского района оценивается как слабое.</w:t>
      </w:r>
    </w:p>
    <w:p w14:paraId="283CA831" w14:textId="77777777" w:rsidR="004D6893" w:rsidRDefault="004D6893" w:rsidP="00A93D7F">
      <w:r w:rsidRPr="00D12DEB">
        <w:t xml:space="preserve">В связи с </w:t>
      </w:r>
      <w:r>
        <w:t xml:space="preserve">потенциальным усилением роли г. Сургут в пространственном и социально-экономическом развитии агломерации </w:t>
      </w:r>
      <w:r w:rsidRPr="00D716A5">
        <w:rPr>
          <w:color w:val="000000"/>
        </w:rPr>
        <w:t>Сургут-Нефтеюганск</w:t>
      </w:r>
      <w:r>
        <w:rPr>
          <w:color w:val="000000"/>
        </w:rPr>
        <w:t xml:space="preserve"> и всего округа</w:t>
      </w:r>
      <w:r>
        <w:t xml:space="preserve"> в ближай</w:t>
      </w:r>
      <w:r w:rsidRPr="00D12DEB">
        <w:t xml:space="preserve">шие годы следует ожидать повышения мобильности населения </w:t>
      </w:r>
      <w:r>
        <w:t>соседних муниципальных образований</w:t>
      </w:r>
      <w:r w:rsidRPr="00D12DEB">
        <w:t xml:space="preserve">, что создает риски для рынка труда и стабилизации численности населения. </w:t>
      </w:r>
      <w:r>
        <w:t>Данная угроза становится особенно актуальной</w:t>
      </w:r>
      <w:r w:rsidRPr="00D12DEB">
        <w:t xml:space="preserve"> в условиях, когда высокие доходы больше не являются </w:t>
      </w:r>
      <w:r>
        <w:t>единственным</w:t>
      </w:r>
      <w:r w:rsidRPr="00D12DEB">
        <w:t xml:space="preserve"> стимулом для проживания на </w:t>
      </w:r>
      <w:r>
        <w:t>определенной территории</w:t>
      </w:r>
      <w:r w:rsidRPr="00D12DEB">
        <w:t xml:space="preserve">. </w:t>
      </w:r>
    </w:p>
    <w:p w14:paraId="3A0D1573" w14:textId="77777777" w:rsidR="004D6893" w:rsidRDefault="004D6893" w:rsidP="00A93D7F"/>
    <w:p w14:paraId="22FCB8B7" w14:textId="77777777" w:rsidR="004D6893" w:rsidRDefault="004D6893" w:rsidP="00A93D7F">
      <w:pPr>
        <w:pStyle w:val="ac"/>
      </w:pPr>
      <w:r>
        <w:t xml:space="preserve">Таблица </w:t>
      </w:r>
      <w:fldSimple w:instr=" SEQ Таблица \* ARABIC ">
        <w:r w:rsidR="00ED1BAA">
          <w:rPr>
            <w:noProof/>
          </w:rPr>
          <w:t>12</w:t>
        </w:r>
      </w:fldSimple>
      <w:r>
        <w:t xml:space="preserve"> </w:t>
      </w:r>
    </w:p>
    <w:p w14:paraId="54471973" w14:textId="77777777" w:rsidR="004D6893" w:rsidRPr="008737CB" w:rsidRDefault="004D6893" w:rsidP="00A93D7F">
      <w:pPr>
        <w:pStyle w:val="ac"/>
      </w:pPr>
      <w:r w:rsidRPr="008737CB">
        <w:t xml:space="preserve">Динамика миграционного прироста в муниципальных образованиях </w:t>
      </w:r>
      <w:r w:rsidRPr="008737CB">
        <w:rPr>
          <w:color w:val="000000" w:themeColor="text1"/>
        </w:rPr>
        <w:t>Ханты-Мансийского автономного округа в 2011-2012 гг., чел.</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890"/>
        <w:gridCol w:w="953"/>
        <w:gridCol w:w="850"/>
        <w:gridCol w:w="851"/>
        <w:gridCol w:w="850"/>
        <w:gridCol w:w="851"/>
        <w:gridCol w:w="1562"/>
      </w:tblGrid>
      <w:tr w:rsidR="004D6893" w:rsidRPr="00C95AB5" w14:paraId="03AC03D9" w14:textId="77777777" w:rsidTr="004D6893">
        <w:trPr>
          <w:trHeight w:val="287"/>
        </w:trPr>
        <w:tc>
          <w:tcPr>
            <w:tcW w:w="2542" w:type="dxa"/>
            <w:shd w:val="clear" w:color="auto" w:fill="auto"/>
            <w:vAlign w:val="center"/>
            <w:hideMark/>
          </w:tcPr>
          <w:p w14:paraId="46A829DE" w14:textId="77777777" w:rsidR="004D6893" w:rsidRPr="007F6687" w:rsidRDefault="004D6893" w:rsidP="0007739F">
            <w:pPr>
              <w:pStyle w:val="af7"/>
            </w:pPr>
            <w:r w:rsidRPr="00C95AB5">
              <w:t>Муниципальное образование</w:t>
            </w:r>
          </w:p>
        </w:tc>
        <w:tc>
          <w:tcPr>
            <w:tcW w:w="890" w:type="dxa"/>
            <w:shd w:val="clear" w:color="auto" w:fill="auto"/>
            <w:noWrap/>
            <w:vAlign w:val="center"/>
            <w:hideMark/>
          </w:tcPr>
          <w:p w14:paraId="3C5B025D" w14:textId="77777777" w:rsidR="004D6893" w:rsidRPr="007F6687" w:rsidRDefault="004D6893" w:rsidP="0007739F">
            <w:pPr>
              <w:pStyle w:val="af7"/>
              <w:jc w:val="center"/>
            </w:pPr>
            <w:r w:rsidRPr="007F6687">
              <w:t>2011</w:t>
            </w:r>
          </w:p>
        </w:tc>
        <w:tc>
          <w:tcPr>
            <w:tcW w:w="953" w:type="dxa"/>
            <w:shd w:val="clear" w:color="auto" w:fill="auto"/>
            <w:noWrap/>
            <w:vAlign w:val="center"/>
            <w:hideMark/>
          </w:tcPr>
          <w:p w14:paraId="0A768607" w14:textId="77777777" w:rsidR="004D6893" w:rsidRPr="007F6687" w:rsidRDefault="004D6893" w:rsidP="0007739F">
            <w:pPr>
              <w:pStyle w:val="af7"/>
              <w:jc w:val="center"/>
            </w:pPr>
            <w:r w:rsidRPr="007F6687">
              <w:t>2012</w:t>
            </w:r>
          </w:p>
        </w:tc>
        <w:tc>
          <w:tcPr>
            <w:tcW w:w="850" w:type="dxa"/>
            <w:shd w:val="clear" w:color="auto" w:fill="auto"/>
            <w:noWrap/>
            <w:vAlign w:val="center"/>
            <w:hideMark/>
          </w:tcPr>
          <w:p w14:paraId="00005EAA" w14:textId="77777777" w:rsidR="004D6893" w:rsidRPr="007F6687" w:rsidRDefault="004D6893" w:rsidP="0007739F">
            <w:pPr>
              <w:pStyle w:val="af7"/>
              <w:jc w:val="center"/>
            </w:pPr>
            <w:r w:rsidRPr="007F6687">
              <w:t>2013</w:t>
            </w:r>
          </w:p>
        </w:tc>
        <w:tc>
          <w:tcPr>
            <w:tcW w:w="851" w:type="dxa"/>
            <w:shd w:val="clear" w:color="auto" w:fill="auto"/>
            <w:noWrap/>
            <w:vAlign w:val="center"/>
            <w:hideMark/>
          </w:tcPr>
          <w:p w14:paraId="293C4200" w14:textId="77777777" w:rsidR="004D6893" w:rsidRPr="007F6687" w:rsidRDefault="004D6893" w:rsidP="0007739F">
            <w:pPr>
              <w:pStyle w:val="af7"/>
              <w:jc w:val="center"/>
            </w:pPr>
            <w:r w:rsidRPr="007F6687">
              <w:t>2014</w:t>
            </w:r>
          </w:p>
        </w:tc>
        <w:tc>
          <w:tcPr>
            <w:tcW w:w="850" w:type="dxa"/>
            <w:shd w:val="clear" w:color="auto" w:fill="auto"/>
            <w:noWrap/>
            <w:vAlign w:val="center"/>
            <w:hideMark/>
          </w:tcPr>
          <w:p w14:paraId="07BCD438" w14:textId="77777777" w:rsidR="004D6893" w:rsidRPr="007F6687" w:rsidRDefault="004D6893" w:rsidP="0007739F">
            <w:pPr>
              <w:pStyle w:val="af7"/>
              <w:jc w:val="center"/>
            </w:pPr>
            <w:r w:rsidRPr="007F6687">
              <w:t>2015</w:t>
            </w:r>
          </w:p>
        </w:tc>
        <w:tc>
          <w:tcPr>
            <w:tcW w:w="851" w:type="dxa"/>
            <w:shd w:val="clear" w:color="auto" w:fill="auto"/>
            <w:noWrap/>
            <w:vAlign w:val="center"/>
            <w:hideMark/>
          </w:tcPr>
          <w:p w14:paraId="72261DEA" w14:textId="77777777" w:rsidR="004D6893" w:rsidRPr="007F6687" w:rsidRDefault="004D6893" w:rsidP="0007739F">
            <w:pPr>
              <w:pStyle w:val="af7"/>
              <w:jc w:val="center"/>
            </w:pPr>
            <w:r w:rsidRPr="007F6687">
              <w:t>2016</w:t>
            </w:r>
          </w:p>
        </w:tc>
        <w:tc>
          <w:tcPr>
            <w:tcW w:w="1562" w:type="dxa"/>
          </w:tcPr>
          <w:p w14:paraId="3B569557" w14:textId="77777777" w:rsidR="004D6893" w:rsidRPr="00C95AB5" w:rsidRDefault="004D6893" w:rsidP="0007739F">
            <w:pPr>
              <w:pStyle w:val="af7"/>
              <w:jc w:val="center"/>
            </w:pPr>
            <w:r>
              <w:t>Накопленный МП в 2011-2016 гг.</w:t>
            </w:r>
          </w:p>
        </w:tc>
      </w:tr>
      <w:tr w:rsidR="004D6893" w:rsidRPr="00C95AB5" w14:paraId="605C8CB0" w14:textId="77777777" w:rsidTr="004D6893">
        <w:trPr>
          <w:trHeight w:val="287"/>
        </w:trPr>
        <w:tc>
          <w:tcPr>
            <w:tcW w:w="2542" w:type="dxa"/>
            <w:shd w:val="clear" w:color="auto" w:fill="auto"/>
            <w:vAlign w:val="center"/>
            <w:hideMark/>
          </w:tcPr>
          <w:p w14:paraId="791C5C1E" w14:textId="77777777" w:rsidR="004D6893" w:rsidRPr="007F6687" w:rsidRDefault="004D6893" w:rsidP="0007739F">
            <w:pPr>
              <w:pStyle w:val="af7"/>
            </w:pPr>
            <w:r w:rsidRPr="00BD695A">
              <w:t>Нефтеюганский район</w:t>
            </w:r>
          </w:p>
        </w:tc>
        <w:tc>
          <w:tcPr>
            <w:tcW w:w="890" w:type="dxa"/>
            <w:shd w:val="clear" w:color="auto" w:fill="auto"/>
            <w:noWrap/>
            <w:vAlign w:val="center"/>
            <w:hideMark/>
          </w:tcPr>
          <w:p w14:paraId="5006E541" w14:textId="77777777" w:rsidR="004D6893" w:rsidRPr="007F6687" w:rsidRDefault="004D6893" w:rsidP="0007739F">
            <w:pPr>
              <w:pStyle w:val="af7"/>
              <w:jc w:val="center"/>
            </w:pPr>
            <w:r w:rsidRPr="007F6687">
              <w:t>-727</w:t>
            </w:r>
          </w:p>
        </w:tc>
        <w:tc>
          <w:tcPr>
            <w:tcW w:w="953" w:type="dxa"/>
            <w:shd w:val="clear" w:color="auto" w:fill="auto"/>
            <w:noWrap/>
            <w:vAlign w:val="center"/>
            <w:hideMark/>
          </w:tcPr>
          <w:p w14:paraId="3395E048" w14:textId="77777777" w:rsidR="004D6893" w:rsidRPr="007F6687" w:rsidRDefault="004D6893" w:rsidP="0007739F">
            <w:pPr>
              <w:pStyle w:val="af7"/>
              <w:jc w:val="center"/>
            </w:pPr>
            <w:r w:rsidRPr="007F6687">
              <w:t>-443</w:t>
            </w:r>
          </w:p>
        </w:tc>
        <w:tc>
          <w:tcPr>
            <w:tcW w:w="850" w:type="dxa"/>
            <w:shd w:val="clear" w:color="auto" w:fill="auto"/>
            <w:noWrap/>
            <w:vAlign w:val="center"/>
            <w:hideMark/>
          </w:tcPr>
          <w:p w14:paraId="17C9F2B1" w14:textId="77777777" w:rsidR="004D6893" w:rsidRPr="007F6687" w:rsidRDefault="004D6893" w:rsidP="0007739F">
            <w:pPr>
              <w:pStyle w:val="af7"/>
              <w:jc w:val="center"/>
            </w:pPr>
            <w:r w:rsidRPr="007F6687">
              <w:t>-602</w:t>
            </w:r>
          </w:p>
        </w:tc>
        <w:tc>
          <w:tcPr>
            <w:tcW w:w="851" w:type="dxa"/>
            <w:shd w:val="clear" w:color="auto" w:fill="auto"/>
            <w:noWrap/>
            <w:vAlign w:val="center"/>
            <w:hideMark/>
          </w:tcPr>
          <w:p w14:paraId="39701D2F" w14:textId="77777777" w:rsidR="004D6893" w:rsidRPr="007F6687" w:rsidRDefault="004D6893" w:rsidP="0007739F">
            <w:pPr>
              <w:pStyle w:val="af7"/>
              <w:jc w:val="center"/>
            </w:pPr>
            <w:r w:rsidRPr="007F6687">
              <w:t>309</w:t>
            </w:r>
          </w:p>
        </w:tc>
        <w:tc>
          <w:tcPr>
            <w:tcW w:w="850" w:type="dxa"/>
            <w:shd w:val="clear" w:color="auto" w:fill="auto"/>
            <w:noWrap/>
            <w:vAlign w:val="center"/>
            <w:hideMark/>
          </w:tcPr>
          <w:p w14:paraId="1D1C6659" w14:textId="77777777" w:rsidR="004D6893" w:rsidRPr="007F6687" w:rsidRDefault="004D6893" w:rsidP="0007739F">
            <w:pPr>
              <w:pStyle w:val="af7"/>
              <w:jc w:val="center"/>
            </w:pPr>
            <w:r w:rsidRPr="007F6687">
              <w:t>-13</w:t>
            </w:r>
          </w:p>
        </w:tc>
        <w:tc>
          <w:tcPr>
            <w:tcW w:w="851" w:type="dxa"/>
            <w:shd w:val="clear" w:color="auto" w:fill="auto"/>
            <w:noWrap/>
            <w:vAlign w:val="center"/>
            <w:hideMark/>
          </w:tcPr>
          <w:p w14:paraId="658F28BD" w14:textId="77777777" w:rsidR="004D6893" w:rsidRPr="007F6687" w:rsidRDefault="004D6893" w:rsidP="0007739F">
            <w:pPr>
              <w:pStyle w:val="af7"/>
              <w:jc w:val="center"/>
            </w:pPr>
            <w:r w:rsidRPr="007F6687">
              <w:t>-23</w:t>
            </w:r>
          </w:p>
        </w:tc>
        <w:tc>
          <w:tcPr>
            <w:tcW w:w="1562" w:type="dxa"/>
            <w:vAlign w:val="center"/>
          </w:tcPr>
          <w:p w14:paraId="401AD4A5" w14:textId="77777777" w:rsidR="004D6893" w:rsidRPr="00C95AB5" w:rsidRDefault="004D6893" w:rsidP="0007739F">
            <w:pPr>
              <w:pStyle w:val="af7"/>
              <w:jc w:val="center"/>
            </w:pPr>
            <w:r>
              <w:t>-1 499</w:t>
            </w:r>
          </w:p>
        </w:tc>
      </w:tr>
      <w:tr w:rsidR="004D6893" w:rsidRPr="00C95AB5" w14:paraId="5DF8FAF8" w14:textId="77777777" w:rsidTr="004D6893">
        <w:trPr>
          <w:trHeight w:val="254"/>
        </w:trPr>
        <w:tc>
          <w:tcPr>
            <w:tcW w:w="2542" w:type="dxa"/>
            <w:shd w:val="clear" w:color="auto" w:fill="auto"/>
            <w:vAlign w:val="center"/>
            <w:hideMark/>
          </w:tcPr>
          <w:p w14:paraId="598E3878" w14:textId="77777777" w:rsidR="004D6893" w:rsidRPr="007F6687" w:rsidRDefault="004D6893" w:rsidP="0007739F">
            <w:pPr>
              <w:pStyle w:val="af7"/>
            </w:pPr>
            <w:r w:rsidRPr="00C95AB5">
              <w:t>г. Нефтеюганск</w:t>
            </w:r>
          </w:p>
        </w:tc>
        <w:tc>
          <w:tcPr>
            <w:tcW w:w="890" w:type="dxa"/>
            <w:shd w:val="clear" w:color="auto" w:fill="auto"/>
            <w:noWrap/>
            <w:vAlign w:val="center"/>
            <w:hideMark/>
          </w:tcPr>
          <w:p w14:paraId="40192916" w14:textId="77777777" w:rsidR="004D6893" w:rsidRPr="007F6687" w:rsidRDefault="004D6893" w:rsidP="0007739F">
            <w:pPr>
              <w:pStyle w:val="af7"/>
              <w:jc w:val="center"/>
            </w:pPr>
            <w:r w:rsidRPr="00C95AB5">
              <w:t>820</w:t>
            </w:r>
          </w:p>
        </w:tc>
        <w:tc>
          <w:tcPr>
            <w:tcW w:w="953" w:type="dxa"/>
            <w:shd w:val="clear" w:color="auto" w:fill="auto"/>
            <w:noWrap/>
            <w:vAlign w:val="center"/>
            <w:hideMark/>
          </w:tcPr>
          <w:p w14:paraId="204A1480" w14:textId="77777777" w:rsidR="004D6893" w:rsidRPr="007F6687" w:rsidRDefault="004D6893" w:rsidP="0007739F">
            <w:pPr>
              <w:pStyle w:val="af7"/>
              <w:jc w:val="center"/>
            </w:pPr>
            <w:r w:rsidRPr="00C95AB5">
              <w:t>-477</w:t>
            </w:r>
          </w:p>
        </w:tc>
        <w:tc>
          <w:tcPr>
            <w:tcW w:w="850" w:type="dxa"/>
            <w:shd w:val="clear" w:color="auto" w:fill="auto"/>
            <w:noWrap/>
            <w:vAlign w:val="center"/>
            <w:hideMark/>
          </w:tcPr>
          <w:p w14:paraId="55012E5E" w14:textId="77777777" w:rsidR="004D6893" w:rsidRPr="007F6687" w:rsidRDefault="004D6893" w:rsidP="0007739F">
            <w:pPr>
              <w:pStyle w:val="af7"/>
              <w:jc w:val="center"/>
            </w:pPr>
            <w:r w:rsidRPr="00C95AB5">
              <w:t>-1</w:t>
            </w:r>
            <w:r>
              <w:t xml:space="preserve"> </w:t>
            </w:r>
            <w:r w:rsidRPr="00C95AB5">
              <w:t>186</w:t>
            </w:r>
          </w:p>
        </w:tc>
        <w:tc>
          <w:tcPr>
            <w:tcW w:w="851" w:type="dxa"/>
            <w:shd w:val="clear" w:color="auto" w:fill="auto"/>
            <w:noWrap/>
            <w:vAlign w:val="center"/>
            <w:hideMark/>
          </w:tcPr>
          <w:p w14:paraId="295CAB02" w14:textId="77777777" w:rsidR="004D6893" w:rsidRPr="007F6687" w:rsidRDefault="004D6893" w:rsidP="0007739F">
            <w:pPr>
              <w:pStyle w:val="af7"/>
              <w:jc w:val="center"/>
            </w:pPr>
            <w:r w:rsidRPr="00C95AB5">
              <w:t>-1</w:t>
            </w:r>
            <w:r>
              <w:t xml:space="preserve"> </w:t>
            </w:r>
            <w:r w:rsidRPr="00C95AB5">
              <w:t>637</w:t>
            </w:r>
          </w:p>
        </w:tc>
        <w:tc>
          <w:tcPr>
            <w:tcW w:w="850" w:type="dxa"/>
            <w:shd w:val="clear" w:color="auto" w:fill="auto"/>
            <w:noWrap/>
            <w:vAlign w:val="center"/>
            <w:hideMark/>
          </w:tcPr>
          <w:p w14:paraId="631943EA" w14:textId="77777777" w:rsidR="004D6893" w:rsidRPr="007F6687" w:rsidRDefault="004D6893" w:rsidP="0007739F">
            <w:pPr>
              <w:pStyle w:val="af7"/>
              <w:jc w:val="center"/>
            </w:pPr>
            <w:r w:rsidRPr="00C95AB5">
              <w:t>-1</w:t>
            </w:r>
            <w:r>
              <w:t xml:space="preserve"> </w:t>
            </w:r>
            <w:r w:rsidRPr="00C95AB5">
              <w:t>163</w:t>
            </w:r>
          </w:p>
        </w:tc>
        <w:tc>
          <w:tcPr>
            <w:tcW w:w="851" w:type="dxa"/>
            <w:shd w:val="clear" w:color="auto" w:fill="auto"/>
            <w:noWrap/>
            <w:vAlign w:val="center"/>
            <w:hideMark/>
          </w:tcPr>
          <w:p w14:paraId="5B4F6031" w14:textId="77777777" w:rsidR="004D6893" w:rsidRPr="007F6687" w:rsidRDefault="004D6893" w:rsidP="0007739F">
            <w:pPr>
              <w:pStyle w:val="af7"/>
              <w:jc w:val="center"/>
            </w:pPr>
            <w:r w:rsidRPr="00C95AB5">
              <w:t>-134</w:t>
            </w:r>
          </w:p>
        </w:tc>
        <w:tc>
          <w:tcPr>
            <w:tcW w:w="1562" w:type="dxa"/>
            <w:vAlign w:val="center"/>
          </w:tcPr>
          <w:p w14:paraId="0F2A1F21" w14:textId="77777777" w:rsidR="004D6893" w:rsidRPr="00C95AB5" w:rsidRDefault="004D6893" w:rsidP="0007739F">
            <w:pPr>
              <w:pStyle w:val="af7"/>
              <w:jc w:val="center"/>
            </w:pPr>
            <w:r>
              <w:t>-3 777</w:t>
            </w:r>
          </w:p>
        </w:tc>
      </w:tr>
      <w:tr w:rsidR="004D6893" w:rsidRPr="00C95AB5" w14:paraId="566256E4" w14:textId="77777777" w:rsidTr="004D6893">
        <w:trPr>
          <w:trHeight w:val="287"/>
        </w:trPr>
        <w:tc>
          <w:tcPr>
            <w:tcW w:w="2542" w:type="dxa"/>
            <w:shd w:val="clear" w:color="auto" w:fill="auto"/>
            <w:vAlign w:val="center"/>
            <w:hideMark/>
          </w:tcPr>
          <w:p w14:paraId="33C0EEF6" w14:textId="77777777" w:rsidR="004D6893" w:rsidRPr="007F6687" w:rsidRDefault="004D6893" w:rsidP="0007739F">
            <w:pPr>
              <w:pStyle w:val="af7"/>
            </w:pPr>
            <w:r w:rsidRPr="00C95AB5">
              <w:t>Сургутский район</w:t>
            </w:r>
          </w:p>
        </w:tc>
        <w:tc>
          <w:tcPr>
            <w:tcW w:w="890" w:type="dxa"/>
            <w:shd w:val="clear" w:color="auto" w:fill="auto"/>
            <w:noWrap/>
            <w:vAlign w:val="center"/>
          </w:tcPr>
          <w:p w14:paraId="0B9C184E" w14:textId="77777777" w:rsidR="004D6893" w:rsidRPr="007F6687" w:rsidRDefault="004D6893" w:rsidP="0007739F">
            <w:pPr>
              <w:pStyle w:val="af7"/>
              <w:jc w:val="center"/>
            </w:pPr>
            <w:r w:rsidRPr="00C95AB5">
              <w:t>1</w:t>
            </w:r>
            <w:r>
              <w:t xml:space="preserve"> </w:t>
            </w:r>
            <w:r w:rsidRPr="00C95AB5">
              <w:t>703</w:t>
            </w:r>
          </w:p>
        </w:tc>
        <w:tc>
          <w:tcPr>
            <w:tcW w:w="953" w:type="dxa"/>
            <w:shd w:val="clear" w:color="auto" w:fill="auto"/>
            <w:noWrap/>
            <w:vAlign w:val="center"/>
          </w:tcPr>
          <w:p w14:paraId="7E5D2001" w14:textId="77777777" w:rsidR="004D6893" w:rsidRPr="007F6687" w:rsidRDefault="004D6893" w:rsidP="0007739F">
            <w:pPr>
              <w:pStyle w:val="af7"/>
              <w:jc w:val="center"/>
            </w:pPr>
            <w:r w:rsidRPr="00C95AB5">
              <w:t>1</w:t>
            </w:r>
            <w:r>
              <w:t xml:space="preserve"> </w:t>
            </w:r>
            <w:r w:rsidRPr="00C95AB5">
              <w:t>336</w:t>
            </w:r>
          </w:p>
        </w:tc>
        <w:tc>
          <w:tcPr>
            <w:tcW w:w="850" w:type="dxa"/>
            <w:shd w:val="clear" w:color="auto" w:fill="auto"/>
            <w:noWrap/>
            <w:vAlign w:val="center"/>
          </w:tcPr>
          <w:p w14:paraId="55A1C4FE" w14:textId="77777777" w:rsidR="004D6893" w:rsidRPr="007F6687" w:rsidRDefault="004D6893" w:rsidP="0007739F">
            <w:pPr>
              <w:pStyle w:val="af7"/>
              <w:jc w:val="center"/>
            </w:pPr>
            <w:r w:rsidRPr="00C95AB5">
              <w:t>-592</w:t>
            </w:r>
          </w:p>
        </w:tc>
        <w:tc>
          <w:tcPr>
            <w:tcW w:w="851" w:type="dxa"/>
            <w:shd w:val="clear" w:color="auto" w:fill="auto"/>
            <w:noWrap/>
            <w:vAlign w:val="center"/>
          </w:tcPr>
          <w:p w14:paraId="3A0F1D37" w14:textId="77777777" w:rsidR="004D6893" w:rsidRPr="007F6687" w:rsidRDefault="004D6893" w:rsidP="0007739F">
            <w:pPr>
              <w:pStyle w:val="af7"/>
              <w:jc w:val="center"/>
            </w:pPr>
            <w:r w:rsidRPr="00C95AB5">
              <w:t>-1</w:t>
            </w:r>
            <w:r>
              <w:t xml:space="preserve"> </w:t>
            </w:r>
            <w:r w:rsidRPr="00C95AB5">
              <w:t>103</w:t>
            </w:r>
          </w:p>
        </w:tc>
        <w:tc>
          <w:tcPr>
            <w:tcW w:w="850" w:type="dxa"/>
            <w:shd w:val="clear" w:color="auto" w:fill="auto"/>
            <w:noWrap/>
            <w:vAlign w:val="center"/>
          </w:tcPr>
          <w:p w14:paraId="70E091C2" w14:textId="77777777" w:rsidR="004D6893" w:rsidRPr="007F6687" w:rsidRDefault="004D6893" w:rsidP="0007739F">
            <w:pPr>
              <w:pStyle w:val="af7"/>
              <w:jc w:val="center"/>
            </w:pPr>
            <w:r w:rsidRPr="00C95AB5">
              <w:t>-344</w:t>
            </w:r>
          </w:p>
        </w:tc>
        <w:tc>
          <w:tcPr>
            <w:tcW w:w="851" w:type="dxa"/>
            <w:shd w:val="clear" w:color="auto" w:fill="auto"/>
            <w:noWrap/>
            <w:vAlign w:val="center"/>
          </w:tcPr>
          <w:p w14:paraId="7244A3F4" w14:textId="77777777" w:rsidR="004D6893" w:rsidRPr="007F6687" w:rsidRDefault="004D6893" w:rsidP="0007739F">
            <w:pPr>
              <w:pStyle w:val="af7"/>
              <w:jc w:val="center"/>
            </w:pPr>
            <w:r w:rsidRPr="00C95AB5">
              <w:t>-1</w:t>
            </w:r>
            <w:r>
              <w:t xml:space="preserve"> </w:t>
            </w:r>
            <w:r w:rsidRPr="00C95AB5">
              <w:t>778</w:t>
            </w:r>
          </w:p>
        </w:tc>
        <w:tc>
          <w:tcPr>
            <w:tcW w:w="1562" w:type="dxa"/>
            <w:vAlign w:val="center"/>
          </w:tcPr>
          <w:p w14:paraId="4E52B7CF" w14:textId="77777777" w:rsidR="004D6893" w:rsidRPr="00C95AB5" w:rsidRDefault="004D6893" w:rsidP="0007739F">
            <w:pPr>
              <w:pStyle w:val="af7"/>
              <w:jc w:val="center"/>
            </w:pPr>
            <w:r>
              <w:t>-778</w:t>
            </w:r>
          </w:p>
        </w:tc>
      </w:tr>
      <w:tr w:rsidR="004D6893" w:rsidRPr="00C95AB5" w14:paraId="66FB4069" w14:textId="77777777" w:rsidTr="004D6893">
        <w:trPr>
          <w:trHeight w:val="287"/>
        </w:trPr>
        <w:tc>
          <w:tcPr>
            <w:tcW w:w="2542" w:type="dxa"/>
            <w:shd w:val="clear" w:color="auto" w:fill="auto"/>
            <w:vAlign w:val="center"/>
            <w:hideMark/>
          </w:tcPr>
          <w:p w14:paraId="15AC48BD" w14:textId="77777777" w:rsidR="004D6893" w:rsidRPr="007F6687" w:rsidRDefault="004D6893" w:rsidP="0007739F">
            <w:pPr>
              <w:pStyle w:val="af7"/>
            </w:pPr>
            <w:r w:rsidRPr="00C95AB5">
              <w:t>г. Сургут</w:t>
            </w:r>
          </w:p>
        </w:tc>
        <w:tc>
          <w:tcPr>
            <w:tcW w:w="890" w:type="dxa"/>
            <w:shd w:val="clear" w:color="auto" w:fill="auto"/>
            <w:noWrap/>
            <w:vAlign w:val="center"/>
            <w:hideMark/>
          </w:tcPr>
          <w:p w14:paraId="0D6F4152" w14:textId="77777777" w:rsidR="004D6893" w:rsidRPr="007F6687" w:rsidRDefault="004D6893" w:rsidP="0007739F">
            <w:pPr>
              <w:pStyle w:val="af7"/>
              <w:jc w:val="center"/>
            </w:pPr>
            <w:r w:rsidRPr="00C95AB5">
              <w:t>4</w:t>
            </w:r>
            <w:r>
              <w:t xml:space="preserve"> </w:t>
            </w:r>
            <w:r w:rsidRPr="00C95AB5">
              <w:t>250</w:t>
            </w:r>
          </w:p>
        </w:tc>
        <w:tc>
          <w:tcPr>
            <w:tcW w:w="953" w:type="dxa"/>
            <w:shd w:val="clear" w:color="auto" w:fill="auto"/>
            <w:noWrap/>
            <w:vAlign w:val="center"/>
            <w:hideMark/>
          </w:tcPr>
          <w:p w14:paraId="0029A549" w14:textId="77777777" w:rsidR="004D6893" w:rsidRPr="007F6687" w:rsidRDefault="004D6893" w:rsidP="0007739F">
            <w:pPr>
              <w:pStyle w:val="af7"/>
              <w:jc w:val="center"/>
            </w:pPr>
            <w:r w:rsidRPr="00C95AB5">
              <w:t>4</w:t>
            </w:r>
            <w:r>
              <w:t xml:space="preserve"> </w:t>
            </w:r>
            <w:r w:rsidRPr="00C95AB5">
              <w:t>203</w:t>
            </w:r>
          </w:p>
        </w:tc>
        <w:tc>
          <w:tcPr>
            <w:tcW w:w="850" w:type="dxa"/>
            <w:shd w:val="clear" w:color="auto" w:fill="auto"/>
            <w:noWrap/>
            <w:vAlign w:val="center"/>
            <w:hideMark/>
          </w:tcPr>
          <w:p w14:paraId="58B6815D" w14:textId="77777777" w:rsidR="004D6893" w:rsidRPr="007F6687" w:rsidRDefault="004D6893" w:rsidP="0007739F">
            <w:pPr>
              <w:pStyle w:val="af7"/>
              <w:jc w:val="center"/>
            </w:pPr>
            <w:r w:rsidRPr="00C95AB5">
              <w:t>2</w:t>
            </w:r>
            <w:r>
              <w:t xml:space="preserve"> </w:t>
            </w:r>
            <w:r w:rsidRPr="00C95AB5">
              <w:t>101</w:t>
            </w:r>
          </w:p>
        </w:tc>
        <w:tc>
          <w:tcPr>
            <w:tcW w:w="851" w:type="dxa"/>
            <w:shd w:val="clear" w:color="auto" w:fill="auto"/>
            <w:noWrap/>
            <w:vAlign w:val="center"/>
            <w:hideMark/>
          </w:tcPr>
          <w:p w14:paraId="6C8DAE31" w14:textId="77777777" w:rsidR="004D6893" w:rsidRPr="007F6687" w:rsidRDefault="004D6893" w:rsidP="0007739F">
            <w:pPr>
              <w:pStyle w:val="af7"/>
              <w:jc w:val="center"/>
            </w:pPr>
            <w:r w:rsidRPr="00C95AB5">
              <w:t>3</w:t>
            </w:r>
            <w:r>
              <w:t xml:space="preserve"> </w:t>
            </w:r>
            <w:r w:rsidRPr="00C95AB5">
              <w:t>657</w:t>
            </w:r>
          </w:p>
        </w:tc>
        <w:tc>
          <w:tcPr>
            <w:tcW w:w="850" w:type="dxa"/>
            <w:shd w:val="clear" w:color="auto" w:fill="auto"/>
            <w:noWrap/>
            <w:vAlign w:val="center"/>
            <w:hideMark/>
          </w:tcPr>
          <w:p w14:paraId="12607B20" w14:textId="77777777" w:rsidR="004D6893" w:rsidRPr="007F6687" w:rsidRDefault="004D6893" w:rsidP="0007739F">
            <w:pPr>
              <w:pStyle w:val="af7"/>
              <w:jc w:val="center"/>
            </w:pPr>
            <w:r w:rsidRPr="00C95AB5">
              <w:t>2</w:t>
            </w:r>
            <w:r>
              <w:t xml:space="preserve"> </w:t>
            </w:r>
            <w:r w:rsidRPr="00C95AB5">
              <w:t>950</w:t>
            </w:r>
          </w:p>
        </w:tc>
        <w:tc>
          <w:tcPr>
            <w:tcW w:w="851" w:type="dxa"/>
            <w:shd w:val="clear" w:color="auto" w:fill="auto"/>
            <w:noWrap/>
            <w:vAlign w:val="center"/>
            <w:hideMark/>
          </w:tcPr>
          <w:p w14:paraId="1A602EB4" w14:textId="77777777" w:rsidR="004D6893" w:rsidRPr="007F6687" w:rsidRDefault="004D6893" w:rsidP="0007739F">
            <w:pPr>
              <w:pStyle w:val="af7"/>
              <w:jc w:val="center"/>
            </w:pPr>
            <w:r w:rsidRPr="00C95AB5">
              <w:t>7</w:t>
            </w:r>
            <w:r>
              <w:t xml:space="preserve"> </w:t>
            </w:r>
            <w:r w:rsidRPr="00C95AB5">
              <w:t>071</w:t>
            </w:r>
          </w:p>
        </w:tc>
        <w:tc>
          <w:tcPr>
            <w:tcW w:w="1562" w:type="dxa"/>
            <w:vAlign w:val="center"/>
          </w:tcPr>
          <w:p w14:paraId="76EC6C14" w14:textId="77777777" w:rsidR="004D6893" w:rsidRPr="00C95AB5" w:rsidRDefault="004D6893" w:rsidP="0007739F">
            <w:pPr>
              <w:pStyle w:val="af7"/>
              <w:jc w:val="center"/>
            </w:pPr>
            <w:r>
              <w:t>+24 232</w:t>
            </w:r>
          </w:p>
        </w:tc>
      </w:tr>
      <w:tr w:rsidR="004D6893" w:rsidRPr="00C95AB5" w14:paraId="5C958BA5" w14:textId="77777777" w:rsidTr="004D6893">
        <w:trPr>
          <w:trHeight w:val="287"/>
        </w:trPr>
        <w:tc>
          <w:tcPr>
            <w:tcW w:w="2542" w:type="dxa"/>
            <w:shd w:val="clear" w:color="auto" w:fill="auto"/>
            <w:vAlign w:val="center"/>
          </w:tcPr>
          <w:p w14:paraId="4FE2F3CE" w14:textId="77777777" w:rsidR="004D6893" w:rsidRPr="00C95AB5" w:rsidRDefault="004D6893" w:rsidP="0007739F">
            <w:pPr>
              <w:pStyle w:val="af7"/>
            </w:pPr>
            <w:r w:rsidRPr="00C95AB5">
              <w:t>Ханты-Мансийский район</w:t>
            </w:r>
          </w:p>
        </w:tc>
        <w:tc>
          <w:tcPr>
            <w:tcW w:w="890" w:type="dxa"/>
            <w:shd w:val="clear" w:color="auto" w:fill="auto"/>
            <w:noWrap/>
            <w:vAlign w:val="center"/>
          </w:tcPr>
          <w:p w14:paraId="50B002BF" w14:textId="77777777" w:rsidR="004D6893" w:rsidRPr="00C95AB5" w:rsidRDefault="004D6893" w:rsidP="0007739F">
            <w:pPr>
              <w:pStyle w:val="af7"/>
              <w:jc w:val="center"/>
            </w:pPr>
            <w:r w:rsidRPr="00C95AB5">
              <w:t>643</w:t>
            </w:r>
          </w:p>
        </w:tc>
        <w:tc>
          <w:tcPr>
            <w:tcW w:w="953" w:type="dxa"/>
            <w:shd w:val="clear" w:color="auto" w:fill="auto"/>
            <w:noWrap/>
            <w:vAlign w:val="center"/>
          </w:tcPr>
          <w:p w14:paraId="0B663C38" w14:textId="77777777" w:rsidR="004D6893" w:rsidRPr="00C95AB5" w:rsidRDefault="004D6893" w:rsidP="0007739F">
            <w:pPr>
              <w:pStyle w:val="af7"/>
              <w:jc w:val="center"/>
            </w:pPr>
            <w:r w:rsidRPr="00C95AB5">
              <w:t>-176</w:t>
            </w:r>
          </w:p>
        </w:tc>
        <w:tc>
          <w:tcPr>
            <w:tcW w:w="850" w:type="dxa"/>
            <w:shd w:val="clear" w:color="auto" w:fill="auto"/>
            <w:noWrap/>
            <w:vAlign w:val="center"/>
          </w:tcPr>
          <w:p w14:paraId="6C20FA38" w14:textId="77777777" w:rsidR="004D6893" w:rsidRPr="00C95AB5" w:rsidRDefault="004D6893" w:rsidP="0007739F">
            <w:pPr>
              <w:pStyle w:val="af7"/>
              <w:jc w:val="center"/>
            </w:pPr>
            <w:r w:rsidRPr="00C95AB5">
              <w:t>-157</w:t>
            </w:r>
          </w:p>
        </w:tc>
        <w:tc>
          <w:tcPr>
            <w:tcW w:w="851" w:type="dxa"/>
            <w:shd w:val="clear" w:color="auto" w:fill="auto"/>
            <w:noWrap/>
            <w:vAlign w:val="center"/>
          </w:tcPr>
          <w:p w14:paraId="482C3A4B" w14:textId="77777777" w:rsidR="004D6893" w:rsidRPr="00C95AB5" w:rsidRDefault="004D6893" w:rsidP="0007739F">
            <w:pPr>
              <w:pStyle w:val="af7"/>
              <w:jc w:val="center"/>
            </w:pPr>
            <w:r w:rsidRPr="00C95AB5">
              <w:t>-426</w:t>
            </w:r>
          </w:p>
        </w:tc>
        <w:tc>
          <w:tcPr>
            <w:tcW w:w="850" w:type="dxa"/>
            <w:shd w:val="clear" w:color="auto" w:fill="auto"/>
            <w:noWrap/>
            <w:vAlign w:val="center"/>
          </w:tcPr>
          <w:p w14:paraId="63C52423" w14:textId="77777777" w:rsidR="004D6893" w:rsidRPr="00C95AB5" w:rsidRDefault="004D6893" w:rsidP="0007739F">
            <w:pPr>
              <w:pStyle w:val="af7"/>
              <w:jc w:val="center"/>
            </w:pPr>
            <w:r w:rsidRPr="00C95AB5">
              <w:t>-188</w:t>
            </w:r>
          </w:p>
        </w:tc>
        <w:tc>
          <w:tcPr>
            <w:tcW w:w="851" w:type="dxa"/>
            <w:shd w:val="clear" w:color="auto" w:fill="auto"/>
            <w:noWrap/>
            <w:vAlign w:val="center"/>
          </w:tcPr>
          <w:p w14:paraId="1D084B34" w14:textId="77777777" w:rsidR="004D6893" w:rsidRPr="00C95AB5" w:rsidRDefault="004D6893" w:rsidP="0007739F">
            <w:pPr>
              <w:pStyle w:val="af7"/>
              <w:jc w:val="center"/>
            </w:pPr>
            <w:r w:rsidRPr="00C95AB5">
              <w:t>-19</w:t>
            </w:r>
          </w:p>
        </w:tc>
        <w:tc>
          <w:tcPr>
            <w:tcW w:w="1562" w:type="dxa"/>
            <w:vAlign w:val="center"/>
          </w:tcPr>
          <w:p w14:paraId="6239C05D" w14:textId="77777777" w:rsidR="004D6893" w:rsidRPr="00C95AB5" w:rsidRDefault="004D6893" w:rsidP="0007739F">
            <w:pPr>
              <w:pStyle w:val="af7"/>
              <w:jc w:val="center"/>
            </w:pPr>
            <w:r>
              <w:t>-323</w:t>
            </w:r>
          </w:p>
        </w:tc>
      </w:tr>
      <w:tr w:rsidR="004D6893" w:rsidRPr="00C95AB5" w14:paraId="36E818CA" w14:textId="77777777" w:rsidTr="004D6893">
        <w:trPr>
          <w:trHeight w:val="287"/>
        </w:trPr>
        <w:tc>
          <w:tcPr>
            <w:tcW w:w="2542" w:type="dxa"/>
            <w:shd w:val="clear" w:color="auto" w:fill="auto"/>
            <w:vAlign w:val="center"/>
          </w:tcPr>
          <w:p w14:paraId="701B2D4D" w14:textId="77777777" w:rsidR="004D6893" w:rsidRPr="00C95AB5" w:rsidRDefault="004D6893" w:rsidP="0007739F">
            <w:pPr>
              <w:pStyle w:val="af7"/>
            </w:pPr>
            <w:r w:rsidRPr="00C95AB5">
              <w:t>г. Ханты-Мансийск</w:t>
            </w:r>
          </w:p>
        </w:tc>
        <w:tc>
          <w:tcPr>
            <w:tcW w:w="890" w:type="dxa"/>
            <w:shd w:val="clear" w:color="auto" w:fill="auto"/>
            <w:noWrap/>
            <w:vAlign w:val="center"/>
          </w:tcPr>
          <w:p w14:paraId="5DA5E68C" w14:textId="77777777" w:rsidR="004D6893" w:rsidRPr="00C95AB5" w:rsidRDefault="004D6893" w:rsidP="0007739F">
            <w:pPr>
              <w:pStyle w:val="af7"/>
              <w:jc w:val="center"/>
            </w:pPr>
            <w:r w:rsidRPr="00C95AB5">
              <w:t>3</w:t>
            </w:r>
            <w:r>
              <w:t xml:space="preserve"> </w:t>
            </w:r>
            <w:r w:rsidRPr="00C95AB5">
              <w:t>446</w:t>
            </w:r>
          </w:p>
        </w:tc>
        <w:tc>
          <w:tcPr>
            <w:tcW w:w="953" w:type="dxa"/>
            <w:shd w:val="clear" w:color="auto" w:fill="auto"/>
            <w:noWrap/>
            <w:vAlign w:val="center"/>
          </w:tcPr>
          <w:p w14:paraId="408A6133" w14:textId="77777777" w:rsidR="004D6893" w:rsidRPr="00C95AB5" w:rsidRDefault="004D6893" w:rsidP="0007739F">
            <w:pPr>
              <w:pStyle w:val="af7"/>
              <w:jc w:val="center"/>
            </w:pPr>
            <w:r w:rsidRPr="00C95AB5">
              <w:t>4</w:t>
            </w:r>
            <w:r>
              <w:t xml:space="preserve"> </w:t>
            </w:r>
            <w:r w:rsidRPr="00C95AB5">
              <w:t>795</w:t>
            </w:r>
          </w:p>
        </w:tc>
        <w:tc>
          <w:tcPr>
            <w:tcW w:w="850" w:type="dxa"/>
            <w:shd w:val="clear" w:color="auto" w:fill="auto"/>
            <w:noWrap/>
            <w:vAlign w:val="center"/>
          </w:tcPr>
          <w:p w14:paraId="17BFC14A" w14:textId="77777777" w:rsidR="004D6893" w:rsidRPr="00C95AB5" w:rsidRDefault="004D6893" w:rsidP="0007739F">
            <w:pPr>
              <w:pStyle w:val="af7"/>
              <w:jc w:val="center"/>
            </w:pPr>
            <w:r w:rsidRPr="00C95AB5">
              <w:t>1</w:t>
            </w:r>
            <w:r>
              <w:t xml:space="preserve"> </w:t>
            </w:r>
            <w:r w:rsidRPr="00C95AB5">
              <w:t>359</w:t>
            </w:r>
          </w:p>
        </w:tc>
        <w:tc>
          <w:tcPr>
            <w:tcW w:w="851" w:type="dxa"/>
            <w:shd w:val="clear" w:color="auto" w:fill="auto"/>
            <w:noWrap/>
            <w:vAlign w:val="center"/>
          </w:tcPr>
          <w:p w14:paraId="3266EC9B" w14:textId="77777777" w:rsidR="004D6893" w:rsidRPr="00C95AB5" w:rsidRDefault="004D6893" w:rsidP="0007739F">
            <w:pPr>
              <w:pStyle w:val="af7"/>
              <w:jc w:val="center"/>
            </w:pPr>
            <w:r w:rsidRPr="00C95AB5">
              <w:t>649</w:t>
            </w:r>
          </w:p>
        </w:tc>
        <w:tc>
          <w:tcPr>
            <w:tcW w:w="850" w:type="dxa"/>
            <w:shd w:val="clear" w:color="auto" w:fill="auto"/>
            <w:noWrap/>
            <w:vAlign w:val="center"/>
          </w:tcPr>
          <w:p w14:paraId="318FBD0B" w14:textId="77777777" w:rsidR="004D6893" w:rsidRPr="00C95AB5" w:rsidRDefault="004D6893" w:rsidP="0007739F">
            <w:pPr>
              <w:pStyle w:val="af7"/>
              <w:jc w:val="center"/>
            </w:pPr>
            <w:r w:rsidRPr="00C95AB5">
              <w:t>459</w:t>
            </w:r>
          </w:p>
        </w:tc>
        <w:tc>
          <w:tcPr>
            <w:tcW w:w="851" w:type="dxa"/>
            <w:shd w:val="clear" w:color="auto" w:fill="auto"/>
            <w:noWrap/>
            <w:vAlign w:val="center"/>
          </w:tcPr>
          <w:p w14:paraId="72541474" w14:textId="77777777" w:rsidR="004D6893" w:rsidRPr="00C95AB5" w:rsidRDefault="004D6893" w:rsidP="0007739F">
            <w:pPr>
              <w:pStyle w:val="af7"/>
              <w:jc w:val="center"/>
            </w:pPr>
            <w:r w:rsidRPr="00C95AB5">
              <w:t>638</w:t>
            </w:r>
          </w:p>
        </w:tc>
        <w:tc>
          <w:tcPr>
            <w:tcW w:w="1562" w:type="dxa"/>
            <w:vAlign w:val="center"/>
          </w:tcPr>
          <w:p w14:paraId="1EA18E98" w14:textId="77777777" w:rsidR="004D6893" w:rsidRPr="00C95AB5" w:rsidRDefault="004D6893" w:rsidP="0007739F">
            <w:pPr>
              <w:pStyle w:val="af7"/>
              <w:jc w:val="center"/>
            </w:pPr>
            <w:r>
              <w:t>+11 346</w:t>
            </w:r>
          </w:p>
        </w:tc>
      </w:tr>
    </w:tbl>
    <w:p w14:paraId="010BC05F" w14:textId="490E0238" w:rsidR="004D6893" w:rsidRPr="0007739F" w:rsidRDefault="0007739F" w:rsidP="00A93D7F">
      <w:pPr>
        <w:rPr>
          <w:sz w:val="20"/>
          <w:szCs w:val="20"/>
        </w:rPr>
      </w:pPr>
      <w:r>
        <w:rPr>
          <w:sz w:val="20"/>
          <w:szCs w:val="20"/>
        </w:rPr>
        <w:t>Источник: Росстат, Б</w:t>
      </w:r>
      <w:r w:rsidR="004D6893" w:rsidRPr="0007739F">
        <w:rPr>
          <w:sz w:val="20"/>
          <w:szCs w:val="20"/>
        </w:rPr>
        <w:t>аза данных муниципальных образований</w:t>
      </w:r>
    </w:p>
    <w:p w14:paraId="3ADFBED3" w14:textId="77777777" w:rsidR="004D6893" w:rsidRDefault="004D6893" w:rsidP="00A93D7F"/>
    <w:p w14:paraId="34A874FA" w14:textId="77777777" w:rsidR="004D6893" w:rsidRDefault="004D6893" w:rsidP="00A93D7F">
      <w:r>
        <w:t>Формирование агломерации Сургут-Н</w:t>
      </w:r>
      <w:r w:rsidRPr="00D11D3B">
        <w:t xml:space="preserve">ефтеюганск как опорной точки </w:t>
      </w:r>
      <w:r>
        <w:t xml:space="preserve">социально-экономического развития округа в совокупности с интенсификацией внутрирегиональных пространственных и экономических связей влечет за собой создание масштабного рынка сбыта для продукции добывающей отрасли, обрабатывающей промышленности, </w:t>
      </w:r>
      <w:r>
        <w:lastRenderedPageBreak/>
        <w:t xml:space="preserve">сельского хозяйства и других отраслей экономики. Географическое положение Нефтеюганского района и высокая транспортная доступность от ключевых рынков сбыта формируют предпосылки для развития «сервисных» функций территории района по отношению к агломерации – это, в первую очередь, производство продукции обрабатывающей промышленности, и в перспективе – сельского хозяйства. </w:t>
      </w:r>
    </w:p>
    <w:p w14:paraId="3D9C7556" w14:textId="3E2E9A5A" w:rsidR="004D6893" w:rsidRDefault="004D6893" w:rsidP="00A93D7F">
      <w:r>
        <w:t xml:space="preserve">На территории Нефтеюганского района расположены 10 инвестиционных площадок, из них 5 расположены в границах населенных пунктов (небольшие участки для размещения предприятий розничной торговли, бытового обслуживания и общественного питания), одна промышленная площадка оснащена инженерными коммуникациями </w:t>
      </w:r>
      <w:r w:rsidR="00B45587">
        <w:t>(с</w:t>
      </w:r>
      <w:r>
        <w:t>п. Салым), 4 участка не по</w:t>
      </w:r>
      <w:r w:rsidR="00B45587">
        <w:t>ставлены на кадастровый учет (гп. Пойковский, сп. Салым, с</w:t>
      </w:r>
      <w:r>
        <w:t>п. Куть-Ях).</w:t>
      </w:r>
    </w:p>
    <w:p w14:paraId="45B7867B" w14:textId="77777777" w:rsidR="002C2AF6" w:rsidRDefault="004D6893" w:rsidP="00A93D7F">
      <w:r>
        <w:t>На сегодняшний день устойчивое развитие функции «снабжения» агломерации имеет ряд вызовов и ограничений для Нефтеюганского района, в первую очередь:</w:t>
      </w:r>
    </w:p>
    <w:p w14:paraId="7C1A0DF0" w14:textId="77777777" w:rsidR="002C2AF6" w:rsidRDefault="004D6893" w:rsidP="00A93D7F">
      <w:pPr>
        <w:pStyle w:val="a0"/>
        <w:numPr>
          <w:ilvl w:val="0"/>
          <w:numId w:val="52"/>
        </w:numPr>
      </w:pPr>
      <w:r w:rsidRPr="002C69D5">
        <w:t>повышение качества внутренних транспортных связей за счет совершенствования всего транспортного каркаса и отдельных его элементов, создание новых и модернизация существующих базовых объектов транспортной инфраструктуры</w:t>
      </w:r>
      <w:r w:rsidRPr="00391D2E">
        <w:t xml:space="preserve"> </w:t>
      </w:r>
      <w:r>
        <w:t>муниципального значения;</w:t>
      </w:r>
    </w:p>
    <w:p w14:paraId="0690EE38" w14:textId="77777777" w:rsidR="002C2AF6" w:rsidRDefault="004D6893" w:rsidP="00A93D7F">
      <w:pPr>
        <w:pStyle w:val="a0"/>
        <w:numPr>
          <w:ilvl w:val="0"/>
          <w:numId w:val="52"/>
        </w:numPr>
      </w:pPr>
      <w:r>
        <w:t>развитие транспортно-</w:t>
      </w:r>
      <w:r w:rsidRPr="00656013">
        <w:t xml:space="preserve">логистического центра </w:t>
      </w:r>
      <w:r w:rsidRPr="002C69D5">
        <w:t>в целях увеличения объемов перевозок производимой продукции, в том числе, продукции нефтедобывающей отрасли</w:t>
      </w:r>
      <w:r w:rsidRPr="00656013">
        <w:t xml:space="preserve">; </w:t>
      </w:r>
    </w:p>
    <w:p w14:paraId="1C3000DB" w14:textId="77777777" w:rsidR="002C2AF6" w:rsidRDefault="004D6893" w:rsidP="00A93D7F">
      <w:pPr>
        <w:pStyle w:val="a0"/>
        <w:numPr>
          <w:ilvl w:val="0"/>
          <w:numId w:val="52"/>
        </w:numPr>
      </w:pPr>
      <w:r w:rsidRPr="00656013">
        <w:t>расширение сферы хозяйственного освоения и получение доступа к новым источникам природных ресурсов</w:t>
      </w:r>
      <w:r>
        <w:t xml:space="preserve"> в целях развития обрабатывающих производств (строительных материалов);</w:t>
      </w:r>
    </w:p>
    <w:p w14:paraId="5DBCB83B" w14:textId="77777777" w:rsidR="002C2AF6" w:rsidRDefault="004D6893" w:rsidP="00A93D7F">
      <w:pPr>
        <w:pStyle w:val="a0"/>
        <w:numPr>
          <w:ilvl w:val="0"/>
          <w:numId w:val="52"/>
        </w:numPr>
      </w:pPr>
      <w:r w:rsidRPr="001B1088">
        <w:t>повышение эффективности использ</w:t>
      </w:r>
      <w:r>
        <w:t>ования промышленных территорий;</w:t>
      </w:r>
    </w:p>
    <w:p w14:paraId="58B4C7E6" w14:textId="2BF48694" w:rsidR="004D6893" w:rsidRDefault="004D6893" w:rsidP="00A93D7F">
      <w:pPr>
        <w:pStyle w:val="a0"/>
        <w:numPr>
          <w:ilvl w:val="0"/>
          <w:numId w:val="52"/>
        </w:numPr>
      </w:pPr>
      <w:r>
        <w:t>повышение инвестиционной привлекательности промышленных площадок, расположенных на территории района, их оснащение в соответствии с современными требованиями к инвестиционным площадкам гринфилд и браунфилд.</w:t>
      </w:r>
    </w:p>
    <w:p w14:paraId="2A65B4AC" w14:textId="77777777" w:rsidR="004D6893" w:rsidRDefault="004D6893" w:rsidP="00A93D7F">
      <w:r w:rsidRPr="00656013">
        <w:t xml:space="preserve">Проведение сбалансированной, целенаправленной политики пространственного развития </w:t>
      </w:r>
      <w:r>
        <w:t>Нефтеюганского муниципального района</w:t>
      </w:r>
      <w:r w:rsidRPr="00656013">
        <w:t xml:space="preserve"> должно обеспечить устойчивый экономический рост на базе формирования опорных зон развития, усиления внутри</w:t>
      </w:r>
      <w:r>
        <w:t>-</w:t>
      </w:r>
      <w:r w:rsidRPr="00656013">
        <w:t xml:space="preserve"> и </w:t>
      </w:r>
      <w:r>
        <w:t>межрайонной</w:t>
      </w:r>
      <w:r w:rsidRPr="00656013">
        <w:t xml:space="preserve"> связности территории, </w:t>
      </w:r>
      <w:r>
        <w:t>а также включения в формирующиеся агломерационные</w:t>
      </w:r>
      <w:r w:rsidRPr="00656013">
        <w:t xml:space="preserve"> </w:t>
      </w:r>
      <w:r>
        <w:t>процессы</w:t>
      </w:r>
      <w:r w:rsidRPr="00656013">
        <w:t xml:space="preserve"> в системе расселения</w:t>
      </w:r>
      <w:r>
        <w:t xml:space="preserve"> округа</w:t>
      </w:r>
      <w:r w:rsidRPr="00656013">
        <w:t xml:space="preserve">. </w:t>
      </w:r>
    </w:p>
    <w:p w14:paraId="2D41504F" w14:textId="77777777" w:rsidR="0091372B" w:rsidRDefault="0091372B" w:rsidP="00A93D7F"/>
    <w:p w14:paraId="29E6A4E6" w14:textId="1D32AF73" w:rsidR="006A2654" w:rsidRPr="0007739F" w:rsidRDefault="004735D8" w:rsidP="00A93D7F">
      <w:pPr>
        <w:rPr>
          <w:i/>
        </w:rPr>
      </w:pPr>
      <w:r w:rsidRPr="0007739F">
        <w:rPr>
          <w:i/>
        </w:rPr>
        <w:t>Характеристика социально-экономического развития</w:t>
      </w:r>
      <w:r w:rsidR="006A2654" w:rsidRPr="0007739F">
        <w:rPr>
          <w:i/>
        </w:rPr>
        <w:t xml:space="preserve"> городского и сельских поселений </w:t>
      </w:r>
      <w:r w:rsidRPr="0007739F">
        <w:rPr>
          <w:i/>
        </w:rPr>
        <w:t>Нефтеюганского района</w:t>
      </w:r>
    </w:p>
    <w:p w14:paraId="7BDA3196" w14:textId="77777777" w:rsidR="000D3F29" w:rsidRPr="00DC0845" w:rsidRDefault="000D3F29" w:rsidP="00A93D7F">
      <w:r w:rsidRPr="00DC0845">
        <w:t>Приоритеты социально-экономического развития отдельных муниципальных образований Нефтеюганского района определяются спецификой социально-экономического развития, текущей экономической специализацией поселения, характеристикой социальной и инфраструктурной сфер.</w:t>
      </w:r>
    </w:p>
    <w:p w14:paraId="7CAD5315" w14:textId="77777777" w:rsidR="000D3F29" w:rsidRPr="00DC0845" w:rsidRDefault="000D3F29" w:rsidP="00A93D7F">
      <w:r w:rsidRPr="00DC0845">
        <w:rPr>
          <w:i/>
          <w:lang w:eastAsia="x-none"/>
        </w:rPr>
        <w:t>Городское поселение Пойковский</w:t>
      </w:r>
      <w:r w:rsidRPr="00DC0845">
        <w:rPr>
          <w:lang w:eastAsia="x-none"/>
        </w:rPr>
        <w:t xml:space="preserve"> </w:t>
      </w:r>
      <w:r w:rsidRPr="00DC0845">
        <w:t>является самым крупным муниципальным образованием, входящим в состав Нефтеюганского района. На территории поселения отмечается самый высокий уровень обеспеченности населения социальными, бытовыми и жилищно-коммунальными услугами. Гп. Пойковский также занимает лидирующее место в районе по производству важнейших видов промышленной продукции: на территории поселения сосредоточены предприятия нефтедобычи, энергетики, теплоэнергетики и пищевой промышленности. Городское поселение Пойковский останется опорной точкой социально-экономического развития района, перспективными направлениями развития являются</w:t>
      </w:r>
      <w:r w:rsidRPr="00DC0845">
        <w:rPr>
          <w:lang w:eastAsia="x-none"/>
        </w:rPr>
        <w:t>:</w:t>
      </w:r>
    </w:p>
    <w:p w14:paraId="205935C1" w14:textId="77777777" w:rsidR="000D3F29" w:rsidRPr="00DC0845" w:rsidRDefault="000D3F29" w:rsidP="00A93D7F">
      <w:pPr>
        <w:pStyle w:val="a0"/>
        <w:numPr>
          <w:ilvl w:val="0"/>
          <w:numId w:val="41"/>
        </w:numPr>
      </w:pPr>
      <w:r w:rsidRPr="00DC0845">
        <w:t>разработка трудноизвлекаемых запасов нефти;</w:t>
      </w:r>
    </w:p>
    <w:p w14:paraId="197000F6" w14:textId="77777777" w:rsidR="000D3F29" w:rsidRPr="00DC0845" w:rsidRDefault="000D3F29" w:rsidP="00A93D7F">
      <w:pPr>
        <w:pStyle w:val="a0"/>
        <w:numPr>
          <w:ilvl w:val="0"/>
          <w:numId w:val="41"/>
        </w:numPr>
      </w:pPr>
      <w:r w:rsidRPr="00DC0845">
        <w:lastRenderedPageBreak/>
        <w:t>отрасли машиностроения и металлообработки (ремонт машин, нефтепромыслового и бурового оборудования, изготовление металлических конструкций и изделий, антикоррозионная обработка труб и т. д.);</w:t>
      </w:r>
    </w:p>
    <w:p w14:paraId="78E19AA8" w14:textId="77777777" w:rsidR="000D3F29" w:rsidRPr="00DC0845" w:rsidRDefault="000D3F29" w:rsidP="00A93D7F">
      <w:pPr>
        <w:pStyle w:val="a0"/>
        <w:numPr>
          <w:ilvl w:val="0"/>
          <w:numId w:val="41"/>
        </w:numPr>
      </w:pPr>
      <w:r w:rsidRPr="00DC0845">
        <w:t xml:space="preserve">производство строительных материалов (строительство кирпичного завода, строительство завода по изготовлению теплоизоляционный блоков из торфа «Геокар», создание производства дверных и оконных блоков); </w:t>
      </w:r>
    </w:p>
    <w:p w14:paraId="01F70F34" w14:textId="77777777" w:rsidR="000D3F29" w:rsidRPr="00DC0845" w:rsidRDefault="000D3F29" w:rsidP="00A93D7F">
      <w:pPr>
        <w:pStyle w:val="a0"/>
        <w:numPr>
          <w:ilvl w:val="0"/>
          <w:numId w:val="41"/>
        </w:numPr>
      </w:pPr>
      <w:r w:rsidRPr="00DC0845">
        <w:t>жилищное строительство и развитие инженерной инфраструктуры;</w:t>
      </w:r>
    </w:p>
    <w:p w14:paraId="7E0EEE37" w14:textId="77777777" w:rsidR="000D3F29" w:rsidRPr="00DC0845" w:rsidRDefault="000D3F29" w:rsidP="00A93D7F">
      <w:pPr>
        <w:pStyle w:val="a0"/>
        <w:numPr>
          <w:ilvl w:val="0"/>
          <w:numId w:val="41"/>
        </w:numPr>
        <w:rPr>
          <w:lang w:eastAsia="x-none"/>
        </w:rPr>
      </w:pPr>
      <w:r w:rsidRPr="00DC0845">
        <w:t>сфера туризма и рекреации;</w:t>
      </w:r>
    </w:p>
    <w:p w14:paraId="1DD5BA42" w14:textId="77777777" w:rsidR="000D3F29" w:rsidRPr="00DC0845" w:rsidRDefault="000D3F29" w:rsidP="00A93D7F">
      <w:pPr>
        <w:pStyle w:val="a0"/>
        <w:numPr>
          <w:ilvl w:val="0"/>
          <w:numId w:val="41"/>
        </w:numPr>
        <w:rPr>
          <w:lang w:eastAsia="x-none"/>
        </w:rPr>
      </w:pPr>
      <w:r w:rsidRPr="00DC0845">
        <w:t>агропромышленный комплекс.</w:t>
      </w:r>
    </w:p>
    <w:p w14:paraId="2B572D5A" w14:textId="77777777" w:rsidR="000D3F29" w:rsidRPr="00DC0845" w:rsidRDefault="000D3F29" w:rsidP="00A93D7F">
      <w:r w:rsidRPr="00DC0845">
        <w:rPr>
          <w:i/>
          <w:color w:val="000000"/>
        </w:rPr>
        <w:t>Сельское поселение Салым</w:t>
      </w:r>
      <w:r w:rsidRPr="00DC0845">
        <w:rPr>
          <w:b/>
          <w:color w:val="000000"/>
        </w:rPr>
        <w:t xml:space="preserve"> – </w:t>
      </w:r>
      <w:r w:rsidRPr="00DC0845">
        <w:rPr>
          <w:color w:val="000000"/>
        </w:rPr>
        <w:t xml:space="preserve">второе по численности населения муниципальное образование в районе. </w:t>
      </w:r>
      <w:r w:rsidRPr="00DC0845">
        <w:t xml:space="preserve">Образующим предприятием поселения является Компания «Салым Петролеум Девелопмент Н.В.». Высокая транспортная доступность территории поселения обеспечивается посредством железнодорожных путей Свердловской железной дороги ОАО «Российские железные дороги» и федеральной автомобильной трассы Р-404 Тюмень – Тобольск – Ханты-Мансийск. На территории поселения размещена одна инфраструктурно обустроенная промышленная площадка, имеются земельный ресурсы для размещения новых промышленных предприятий. Поселение расположено на территории Салымского лесничества. </w:t>
      </w:r>
      <w:r w:rsidRPr="00DC0845">
        <w:rPr>
          <w:shd w:val="clear" w:color="auto" w:fill="FFFFFF"/>
        </w:rPr>
        <w:t>На территории поселения также расположены реки и озера, археологические памятники (древние городища и поселения-святилища).</w:t>
      </w:r>
    </w:p>
    <w:p w14:paraId="4A739216" w14:textId="77777777" w:rsidR="000D3F29" w:rsidRPr="00DC0845" w:rsidRDefault="000D3F29" w:rsidP="00A93D7F">
      <w:pPr>
        <w:rPr>
          <w:lang w:eastAsia="x-none"/>
        </w:rPr>
      </w:pPr>
      <w:r w:rsidRPr="00DC0845">
        <w:t>Перспективными направлениями развития поселения являются:</w:t>
      </w:r>
    </w:p>
    <w:p w14:paraId="4EB83F44" w14:textId="77777777" w:rsidR="000D3F29" w:rsidRPr="00DC0845" w:rsidRDefault="000D3F29" w:rsidP="00A93D7F">
      <w:pPr>
        <w:pStyle w:val="a0"/>
        <w:numPr>
          <w:ilvl w:val="0"/>
          <w:numId w:val="42"/>
        </w:numPr>
        <w:rPr>
          <w:lang w:eastAsia="x-none"/>
        </w:rPr>
      </w:pPr>
      <w:r w:rsidRPr="00DC0845">
        <w:t>создание транспортно-логистического центра;</w:t>
      </w:r>
    </w:p>
    <w:p w14:paraId="0D5FF56A" w14:textId="77777777" w:rsidR="000D3F29" w:rsidRPr="00DC0845" w:rsidRDefault="000D3F29" w:rsidP="00A93D7F">
      <w:pPr>
        <w:pStyle w:val="a0"/>
        <w:numPr>
          <w:ilvl w:val="0"/>
          <w:numId w:val="42"/>
        </w:numPr>
      </w:pPr>
      <w:r w:rsidRPr="00DC0845">
        <w:t>индивидуальное жилищное строительство и развитие инженерной инфраструктуры;</w:t>
      </w:r>
    </w:p>
    <w:p w14:paraId="35569197" w14:textId="77777777" w:rsidR="000D3F29" w:rsidRPr="00DC0845" w:rsidRDefault="000D3F29" w:rsidP="00A93D7F">
      <w:pPr>
        <w:pStyle w:val="a0"/>
        <w:numPr>
          <w:ilvl w:val="0"/>
          <w:numId w:val="42"/>
        </w:numPr>
      </w:pPr>
      <w:r w:rsidRPr="00DC0845">
        <w:t>лесопромышленный комплекс;</w:t>
      </w:r>
    </w:p>
    <w:p w14:paraId="551C1C87" w14:textId="77777777" w:rsidR="000D3F29" w:rsidRPr="00DC0845" w:rsidRDefault="000D3F29" w:rsidP="00A93D7F">
      <w:pPr>
        <w:pStyle w:val="a0"/>
        <w:numPr>
          <w:ilvl w:val="0"/>
          <w:numId w:val="42"/>
        </w:numPr>
      </w:pPr>
      <w:r w:rsidRPr="00DC0845">
        <w:t>агропромышленный комплекс;</w:t>
      </w:r>
    </w:p>
    <w:p w14:paraId="327F5C9B" w14:textId="77777777" w:rsidR="000D3F29" w:rsidRPr="00DC0845" w:rsidRDefault="000D3F29" w:rsidP="00A93D7F">
      <w:pPr>
        <w:pStyle w:val="a0"/>
        <w:numPr>
          <w:ilvl w:val="0"/>
          <w:numId w:val="42"/>
        </w:numPr>
      </w:pPr>
      <w:r w:rsidRPr="00DC0845">
        <w:t>рыбоперерабатывающяя промышленность;</w:t>
      </w:r>
    </w:p>
    <w:p w14:paraId="5B107FEC" w14:textId="77777777" w:rsidR="000D3F29" w:rsidRPr="00DC0845" w:rsidRDefault="000D3F29" w:rsidP="00A93D7F">
      <w:pPr>
        <w:pStyle w:val="a0"/>
        <w:numPr>
          <w:ilvl w:val="0"/>
          <w:numId w:val="42"/>
        </w:numPr>
      </w:pPr>
      <w:r w:rsidRPr="00DC0845">
        <w:t>сфера туризма и рекреации.</w:t>
      </w:r>
    </w:p>
    <w:p w14:paraId="230863DE" w14:textId="77777777" w:rsidR="000D3F29" w:rsidRPr="00DC0845" w:rsidRDefault="000D3F29" w:rsidP="00A93D7F">
      <w:r w:rsidRPr="00DC0845">
        <w:rPr>
          <w:i/>
        </w:rPr>
        <w:t xml:space="preserve">Сельское поселение </w:t>
      </w:r>
      <w:r w:rsidRPr="00DC0845">
        <w:rPr>
          <w:i/>
          <w:lang w:eastAsia="x-none"/>
        </w:rPr>
        <w:t>Сингапай</w:t>
      </w:r>
      <w:r w:rsidRPr="00DC0845">
        <w:rPr>
          <w:lang w:eastAsia="x-none"/>
        </w:rPr>
        <w:t xml:space="preserve"> </w:t>
      </w:r>
      <w:r w:rsidRPr="00DC0845">
        <w:t xml:space="preserve">расположено в северной части Нефтеюганского района ХМАО – Югры, в 15 км от районного центра. Через поселок проходит окружная автомобильная дорога Нефтеюганск – Сургут. На территории сельского поселения Сингапай расположено 15 крестьянских (фермерских) хозяйства и 8 личных подсобных хозяйств, территория поселения также является частью Нефтеюганского лесничества. На территории поселения расположено старейшее поселение Нефтеюганского района с. Чеускино, являющееся национальным поселком. </w:t>
      </w:r>
      <w:r w:rsidRPr="00DC0845">
        <w:rPr>
          <w:color w:val="000000"/>
        </w:rPr>
        <w:t>Перспективными направлениями развития поселения на долгосрочную перспективу являются:</w:t>
      </w:r>
    </w:p>
    <w:p w14:paraId="13EBFB0A" w14:textId="77777777" w:rsidR="000D3F29" w:rsidRPr="00DC0845" w:rsidRDefault="000D3F29" w:rsidP="00A93D7F">
      <w:pPr>
        <w:pStyle w:val="a0"/>
        <w:numPr>
          <w:ilvl w:val="0"/>
          <w:numId w:val="43"/>
        </w:numPr>
        <w:rPr>
          <w:lang w:eastAsia="x-none"/>
        </w:rPr>
      </w:pPr>
      <w:r w:rsidRPr="00DC0845">
        <w:t>лесопромышленный комплекс;</w:t>
      </w:r>
    </w:p>
    <w:p w14:paraId="5F0A7BBC" w14:textId="77777777" w:rsidR="000D3F29" w:rsidRPr="00DC0845" w:rsidRDefault="000D3F29" w:rsidP="00A93D7F">
      <w:pPr>
        <w:pStyle w:val="a0"/>
        <w:numPr>
          <w:ilvl w:val="0"/>
          <w:numId w:val="43"/>
        </w:numPr>
      </w:pPr>
      <w:r w:rsidRPr="00DC0845">
        <w:t>агропромышленный комплекс;</w:t>
      </w:r>
    </w:p>
    <w:p w14:paraId="3039B19E" w14:textId="77777777" w:rsidR="000D3F29" w:rsidRPr="00DC0845" w:rsidRDefault="000D3F29" w:rsidP="00A93D7F">
      <w:pPr>
        <w:pStyle w:val="a0"/>
        <w:numPr>
          <w:ilvl w:val="0"/>
          <w:numId w:val="43"/>
        </w:numPr>
        <w:rPr>
          <w:lang w:eastAsia="x-none"/>
        </w:rPr>
      </w:pPr>
      <w:r w:rsidRPr="00DC0845">
        <w:t>развитие туризма и рекреации.</w:t>
      </w:r>
    </w:p>
    <w:p w14:paraId="305FB777" w14:textId="77777777" w:rsidR="000D3F29" w:rsidRPr="00DC0845" w:rsidRDefault="000D3F29" w:rsidP="00A93D7F">
      <w:r w:rsidRPr="00DC0845">
        <w:rPr>
          <w:i/>
        </w:rPr>
        <w:t xml:space="preserve">Сельское поселение Куть-Ях </w:t>
      </w:r>
      <w:r w:rsidRPr="00DC0845">
        <w:t xml:space="preserve">расположено на юге Нефтеюганского района, расстояние до районного центра составляет 120 км, расстояние до федеральной трассы «Тюмень </w:t>
      </w:r>
      <w:r w:rsidRPr="00DC0845">
        <w:rPr>
          <w:rStyle w:val="dd-postheadericon"/>
        </w:rPr>
        <w:t>–</w:t>
      </w:r>
      <w:r w:rsidRPr="00DC0845">
        <w:t xml:space="preserve"> Ханты-Мансийск» </w:t>
      </w:r>
      <w:r w:rsidRPr="00DC0845">
        <w:rPr>
          <w:rStyle w:val="dd-postheadericon"/>
        </w:rPr>
        <w:t>–</w:t>
      </w:r>
      <w:r w:rsidRPr="00DC0845">
        <w:t xml:space="preserve"> 1 км. На территории поселения находится железнодорожная станция Куть-Ях. Большая часть мужского населения занята на трех промышленных предприятиях: ОАО «РЖД» (обслуживание железной дороги); ООО «Лесопромышленная компания» (профилирующие виды деятельности предприятия: услуги по выгрузке и погрузке железнодорожных грузов, разрубка трасс, укладка лежневого настила); ООО «Югра-Сервис – Лес» (занимается заготовкой и переработкой древесины). На территории поселения расположены объекты культурного наследия, имеются природные ресурсы для развития культурно-познавательного и этнографического туризма. Социально-экономическое развитие поселения в долгосрочной </w:t>
      </w:r>
      <w:r w:rsidRPr="00DC0845">
        <w:lastRenderedPageBreak/>
        <w:t>перспективе будет определяться развитием агропромышленного и лесопромышленного комплекса.</w:t>
      </w:r>
    </w:p>
    <w:p w14:paraId="7DADEC27" w14:textId="77777777" w:rsidR="008737CB" w:rsidRDefault="000D3F29" w:rsidP="00A93D7F">
      <w:r w:rsidRPr="00DC0845">
        <w:rPr>
          <w:i/>
        </w:rPr>
        <w:t xml:space="preserve">Сельское поселение </w:t>
      </w:r>
      <w:r w:rsidRPr="00DC0845">
        <w:rPr>
          <w:i/>
          <w:lang w:eastAsia="x-none"/>
        </w:rPr>
        <w:t>Усть-</w:t>
      </w:r>
      <w:r w:rsidRPr="00DC0845">
        <w:rPr>
          <w:i/>
          <w:shd w:val="clear" w:color="auto" w:fill="FFFFFF"/>
        </w:rPr>
        <w:t>Юган</w:t>
      </w:r>
      <w:r w:rsidRPr="00DC0845">
        <w:rPr>
          <w:shd w:val="clear" w:color="auto" w:fill="FFFFFF"/>
        </w:rPr>
        <w:t xml:space="preserve"> расположено на территории Нефтеюганского лесничества. </w:t>
      </w:r>
      <w:r w:rsidRPr="00DC0845">
        <w:t xml:space="preserve">Расстояние до районного центра составляет 45 км, до федеральной трассы «Тюмень – Ханты-Мансийск» – 19 км, также на территории района расположена железнодорожная станция, развит водный транспорт. </w:t>
      </w:r>
      <w:r w:rsidRPr="00DC0845">
        <w:rPr>
          <w:shd w:val="clear" w:color="auto" w:fill="FFFFFF"/>
        </w:rPr>
        <w:t xml:space="preserve">В состав муниципального образования сельское поселение Усть-Юган входят два поселка: Усть-Юган и Юганская Обь. </w:t>
      </w:r>
      <w:r w:rsidRPr="00DC0845">
        <w:t>Сельское поселение Усть-Юган является</w:t>
      </w:r>
      <w:r w:rsidRPr="00DC0845">
        <w:rPr>
          <w:color w:val="000000"/>
        </w:rPr>
        <w:t xml:space="preserve"> перспективным для развития</w:t>
      </w:r>
      <w:r w:rsidRPr="00DC0845">
        <w:t xml:space="preserve"> лесопромышленного комплекса.</w:t>
      </w:r>
    </w:p>
    <w:p w14:paraId="31A763C1" w14:textId="144982D7" w:rsidR="000D3F29" w:rsidRPr="008737CB" w:rsidRDefault="000D3F29" w:rsidP="00A93D7F">
      <w:r w:rsidRPr="00DC0845">
        <w:rPr>
          <w:i/>
        </w:rPr>
        <w:t xml:space="preserve">Сельское поселение </w:t>
      </w:r>
      <w:r w:rsidRPr="00DC0845">
        <w:rPr>
          <w:i/>
          <w:lang w:eastAsia="x-none"/>
        </w:rPr>
        <w:t xml:space="preserve">Каркатеевы </w:t>
      </w:r>
      <w:r w:rsidRPr="00DC0845">
        <w:rPr>
          <w:lang w:eastAsia="x-none"/>
        </w:rPr>
        <w:t>расположено в северной части Нефтеюганского района,</w:t>
      </w:r>
      <w:r w:rsidRPr="00DC0845">
        <w:rPr>
          <w:shd w:val="clear" w:color="auto" w:fill="FFFFFF"/>
        </w:rPr>
        <w:t xml:space="preserve"> расстояние до </w:t>
      </w:r>
      <w:r w:rsidRPr="00DC0845">
        <w:rPr>
          <w:kern w:val="32"/>
        </w:rPr>
        <w:t>районного центра</w:t>
      </w:r>
      <w:r w:rsidRPr="00DC0845">
        <w:rPr>
          <w:shd w:val="clear" w:color="auto" w:fill="FFFFFF"/>
        </w:rPr>
        <w:t xml:space="preserve"> </w:t>
      </w:r>
      <w:r w:rsidRPr="00DC0845">
        <w:rPr>
          <w:rStyle w:val="dd-postheadericon"/>
        </w:rPr>
        <w:t>составляет</w:t>
      </w:r>
      <w:r w:rsidRPr="00DC0845">
        <w:rPr>
          <w:shd w:val="clear" w:color="auto" w:fill="FFFFFF"/>
        </w:rPr>
        <w:t xml:space="preserve"> 29 км. На территории поселка функционируют подразделения Нефтеюганского управления магистральных нефтепроводов: цех технологического транспорта и спецтехники, участок погрузочно-разгрузочных работ, база производственного обслуживания. ЛПДС</w:t>
      </w:r>
      <w:r w:rsidRPr="00DC0845">
        <w:t> </w:t>
      </w:r>
      <w:r w:rsidRPr="00DC0845">
        <w:rPr>
          <w:shd w:val="clear" w:color="auto" w:fill="FFFFFF"/>
        </w:rPr>
        <w:t>«Каркатеевы» является составляющей частью крупнейшего ПО</w:t>
      </w:r>
      <w:r w:rsidRPr="00DC0845">
        <w:t> </w:t>
      </w:r>
      <w:r w:rsidRPr="00DC0845">
        <w:rPr>
          <w:shd w:val="clear" w:color="auto" w:fill="FFFFFF"/>
        </w:rPr>
        <w:t xml:space="preserve">«Сибнефтепровод», которое осуществляет транспортировку нефти по всей России. </w:t>
      </w:r>
      <w:r w:rsidRPr="00DC0845">
        <w:t>Исходя из имеющихся природно-сырьевого и инфраструктурного потенциала, целесообразным является развитие транспортно-логистического и лесопромышленного комплекса на территории поселения.</w:t>
      </w:r>
    </w:p>
    <w:p w14:paraId="7DAABAED" w14:textId="77777777" w:rsidR="000D3F29" w:rsidRPr="00DC0845" w:rsidRDefault="000D3F29" w:rsidP="00A93D7F">
      <w:r w:rsidRPr="00DC0845">
        <w:rPr>
          <w:i/>
          <w:color w:val="000000"/>
        </w:rPr>
        <w:t xml:space="preserve">Сельское поселение </w:t>
      </w:r>
      <w:r w:rsidRPr="00DC0845">
        <w:rPr>
          <w:i/>
          <w:lang w:eastAsia="x-none"/>
        </w:rPr>
        <w:t xml:space="preserve">Сентябрьский расположено на расстоянии </w:t>
      </w:r>
      <w:r w:rsidRPr="00DC0845">
        <w:t>100 км от районного центра.</w:t>
      </w:r>
      <w:r w:rsidRPr="00DC0845">
        <w:rPr>
          <w:lang w:eastAsia="x-none"/>
        </w:rPr>
        <w:t xml:space="preserve"> </w:t>
      </w:r>
      <w:r w:rsidRPr="00DC0845">
        <w:t xml:space="preserve">Расстояние до федеральной трассы «Тюмень </w:t>
      </w:r>
      <w:r w:rsidRPr="00DC0845">
        <w:rPr>
          <w:rStyle w:val="dd-postheadericon"/>
        </w:rPr>
        <w:t>–</w:t>
      </w:r>
      <w:r w:rsidRPr="00DC0845">
        <w:t xml:space="preserve"> Ханты-Мансийск» </w:t>
      </w:r>
      <w:r w:rsidRPr="00DC0845">
        <w:rPr>
          <w:rStyle w:val="dd-postheadericon"/>
        </w:rPr>
        <w:t>–</w:t>
      </w:r>
      <w:r w:rsidRPr="00DC0845">
        <w:t xml:space="preserve"> 9 км, железнодорожная станция Куть-Ях находится в 40 км от поселения. По территории муниципального образования проходит железная дорога ОАО «Российские железные дороги», федеральная трасса «Тюмень </w:t>
      </w:r>
      <w:r w:rsidRPr="00DC0845">
        <w:rPr>
          <w:rStyle w:val="dd-postheadericon"/>
        </w:rPr>
        <w:t>–</w:t>
      </w:r>
      <w:r w:rsidRPr="00DC0845">
        <w:t xml:space="preserve"> Ханты-Мансийск», ведомственные автомобильные дороги с капитальным покрытием, развита сеть грунтовых дорог. Специализацией экономики поселения является добыча и транспортировка нефти и газа.</w:t>
      </w:r>
    </w:p>
    <w:p w14:paraId="19D211CF" w14:textId="77777777" w:rsidR="000D3F29" w:rsidRPr="00DC0845" w:rsidRDefault="000D3F29" w:rsidP="00A93D7F">
      <w:pPr>
        <w:rPr>
          <w:lang w:eastAsia="x-none"/>
        </w:rPr>
      </w:pPr>
      <w:r w:rsidRPr="00DC0845">
        <w:t>Для дальнейшего развития территории перспективным направлением является развитие сектора нефтедобычи и транспортно-логистического комплекса.</w:t>
      </w:r>
    </w:p>
    <w:p w14:paraId="2B01E17B" w14:textId="77777777" w:rsidR="000D3F29" w:rsidRPr="00DC0845" w:rsidRDefault="000D3F29" w:rsidP="00A93D7F">
      <w:pPr>
        <w:rPr>
          <w:lang w:eastAsia="x-none"/>
        </w:rPr>
      </w:pPr>
      <w:r w:rsidRPr="00DC0845">
        <w:rPr>
          <w:i/>
        </w:rPr>
        <w:t>Сельское поселение Лемпино</w:t>
      </w:r>
      <w:r w:rsidRPr="00DC0845">
        <w:t xml:space="preserve"> расположено в северо-западной части района, расстояние до </w:t>
      </w:r>
      <w:r w:rsidRPr="00DC0845">
        <w:rPr>
          <w:kern w:val="32"/>
        </w:rPr>
        <w:t xml:space="preserve">районного центра </w:t>
      </w:r>
      <w:r w:rsidRPr="00DC0845">
        <w:t xml:space="preserve">составляет 117 км, до окружной столицы г. Ханты-Мансийск – 128 км. В 4 км от населенного пункта проходит федеральная трасса Тюмень-Ханты-Мансийск. Сп. </w:t>
      </w:r>
      <w:r w:rsidRPr="00DC0845">
        <w:rPr>
          <w:lang w:eastAsia="x-none"/>
        </w:rPr>
        <w:t xml:space="preserve">Лемпино является самым малым по численности населения поселением Нефтеюганского района. </w:t>
      </w:r>
      <w:r w:rsidRPr="00DC0845">
        <w:rPr>
          <w:bCs/>
          <w:shd w:val="clear" w:color="auto" w:fill="FFFFFF"/>
        </w:rPr>
        <w:t xml:space="preserve">Около трети населения составляют представители </w:t>
      </w:r>
      <w:r w:rsidRPr="00DC0845">
        <w:rPr>
          <w:shd w:val="clear" w:color="auto" w:fill="FFFFFF"/>
        </w:rPr>
        <w:t>коренных малочисленных народов Севера</w:t>
      </w:r>
      <w:r w:rsidRPr="00DC0845">
        <w:rPr>
          <w:bCs/>
          <w:shd w:val="clear" w:color="auto" w:fill="FFFFFF"/>
        </w:rPr>
        <w:t xml:space="preserve">, многие жители занимаются традиционными видами деятельности. Ресурсную базу </w:t>
      </w:r>
      <w:r w:rsidRPr="00DC0845">
        <w:rPr>
          <w:shd w:val="clear" w:color="auto" w:fill="FFFFFF"/>
        </w:rPr>
        <w:t>сельского поселения создают природные и биологические ресурсы (дикоросы и рыба). Учитывая указанные факторы, на территории поселения планируется развивать:</w:t>
      </w:r>
    </w:p>
    <w:p w14:paraId="0233F6C4" w14:textId="09B295A7" w:rsidR="000D3F29" w:rsidRPr="00DC0845" w:rsidRDefault="000D3F29" w:rsidP="00154324">
      <w:pPr>
        <w:pStyle w:val="a0"/>
        <w:numPr>
          <w:ilvl w:val="0"/>
          <w:numId w:val="89"/>
        </w:numPr>
      </w:pPr>
      <w:r w:rsidRPr="00DC0845">
        <w:t>рыбоперерабатывающую промышленность;</w:t>
      </w:r>
    </w:p>
    <w:p w14:paraId="1E8E70D5" w14:textId="2323D839" w:rsidR="000D3F29" w:rsidRDefault="000D3F29" w:rsidP="00154324">
      <w:pPr>
        <w:pStyle w:val="a0"/>
        <w:numPr>
          <w:ilvl w:val="0"/>
          <w:numId w:val="89"/>
        </w:numPr>
      </w:pPr>
      <w:r w:rsidRPr="00DC0845">
        <w:t>сферу туризма и рекреации.</w:t>
      </w:r>
      <w:r w:rsidRPr="009C63B0">
        <w:t xml:space="preserve"> </w:t>
      </w:r>
    </w:p>
    <w:bookmarkEnd w:id="61"/>
    <w:p w14:paraId="4F7FACA9" w14:textId="77777777" w:rsidR="00B80AC7" w:rsidRDefault="00B80AC7" w:rsidP="00A93D7F">
      <w:pPr>
        <w:sectPr w:rsidR="00B80AC7" w:rsidSect="00ED2086">
          <w:footerReference w:type="even" r:id="rId31"/>
          <w:footerReference w:type="default" r:id="rId32"/>
          <w:pgSz w:w="11900" w:h="16840"/>
          <w:pgMar w:top="1134" w:right="850" w:bottom="1134" w:left="1701" w:header="708" w:footer="708" w:gutter="0"/>
          <w:cols w:space="708"/>
          <w:docGrid w:linePitch="360"/>
        </w:sectPr>
      </w:pPr>
    </w:p>
    <w:p w14:paraId="4552C05E" w14:textId="476116DB" w:rsidR="000B4455" w:rsidRPr="008737CB" w:rsidRDefault="00D35E0D" w:rsidP="0007739F">
      <w:pPr>
        <w:pStyle w:val="1"/>
        <w:numPr>
          <w:ilvl w:val="0"/>
          <w:numId w:val="0"/>
        </w:numPr>
        <w:ind w:left="360"/>
      </w:pPr>
      <w:bookmarkStart w:id="63" w:name="_Toc503913889"/>
      <w:bookmarkStart w:id="64" w:name="_Toc504055129"/>
      <w:r w:rsidRPr="0063073C">
        <w:lastRenderedPageBreak/>
        <w:t>ПРИЛОЖЕНИЕ 2</w:t>
      </w:r>
      <w:bookmarkEnd w:id="63"/>
      <w:r w:rsidR="00D97826">
        <w:t xml:space="preserve">. </w:t>
      </w:r>
      <w:r w:rsidRPr="008737CB">
        <w:rPr>
          <w:lang w:val="en-US"/>
        </w:rPr>
        <w:t>SWOT</w:t>
      </w:r>
      <w:r w:rsidRPr="008737CB">
        <w:t>-АНАЛИЗ</w:t>
      </w:r>
      <w:r w:rsidR="001E072D" w:rsidRPr="008737CB">
        <w:t xml:space="preserve"> СОЦИАЛЬНО-ЭКОНОМИЧЕСКОГО РАЗВИТИЯ НЕФТЕЮГАНСКОГО РАЙОНА</w:t>
      </w:r>
      <w:bookmarkEnd w:id="64"/>
    </w:p>
    <w:p w14:paraId="652555CE" w14:textId="77777777" w:rsidR="00070539" w:rsidRPr="0007739F" w:rsidRDefault="00070539" w:rsidP="00A93D7F">
      <w:r>
        <w:tab/>
      </w:r>
    </w:p>
    <w:tbl>
      <w:tblPr>
        <w:tblStyle w:val="ab"/>
        <w:tblW w:w="0" w:type="auto"/>
        <w:tblLook w:val="04A0" w:firstRow="1" w:lastRow="0" w:firstColumn="1" w:lastColumn="0" w:noHBand="0" w:noVBand="1"/>
      </w:tblPr>
      <w:tblGrid>
        <w:gridCol w:w="3640"/>
        <w:gridCol w:w="3640"/>
        <w:gridCol w:w="3641"/>
        <w:gridCol w:w="3641"/>
      </w:tblGrid>
      <w:tr w:rsidR="00070539" w:rsidRPr="0007739F" w14:paraId="66629982" w14:textId="77777777" w:rsidTr="00E63F87">
        <w:trPr>
          <w:trHeight w:val="345"/>
        </w:trPr>
        <w:tc>
          <w:tcPr>
            <w:tcW w:w="3640" w:type="dxa"/>
          </w:tcPr>
          <w:p w14:paraId="6459A6C9" w14:textId="77777777" w:rsidR="00070539" w:rsidRPr="0007739F" w:rsidRDefault="00070539" w:rsidP="0007739F">
            <w:pPr>
              <w:pStyle w:val="af7"/>
              <w:jc w:val="center"/>
              <w:rPr>
                <w:sz w:val="24"/>
              </w:rPr>
            </w:pPr>
            <w:r w:rsidRPr="0007739F">
              <w:rPr>
                <w:sz w:val="24"/>
              </w:rPr>
              <w:t>СИЛЬНЫЕ СТОРОНЫ</w:t>
            </w:r>
          </w:p>
        </w:tc>
        <w:tc>
          <w:tcPr>
            <w:tcW w:w="3640" w:type="dxa"/>
          </w:tcPr>
          <w:p w14:paraId="5E605CE3" w14:textId="77777777" w:rsidR="00070539" w:rsidRPr="0007739F" w:rsidRDefault="00070539" w:rsidP="0007739F">
            <w:pPr>
              <w:pStyle w:val="af7"/>
              <w:jc w:val="center"/>
              <w:rPr>
                <w:sz w:val="24"/>
              </w:rPr>
            </w:pPr>
            <w:r w:rsidRPr="0007739F">
              <w:rPr>
                <w:sz w:val="24"/>
              </w:rPr>
              <w:t>СЛАБЫЕ СТОРОНЫ</w:t>
            </w:r>
          </w:p>
        </w:tc>
        <w:tc>
          <w:tcPr>
            <w:tcW w:w="3641" w:type="dxa"/>
          </w:tcPr>
          <w:p w14:paraId="31D85193" w14:textId="77777777" w:rsidR="00070539" w:rsidRPr="0007739F" w:rsidRDefault="00070539" w:rsidP="0007739F">
            <w:pPr>
              <w:pStyle w:val="af7"/>
              <w:jc w:val="center"/>
              <w:rPr>
                <w:sz w:val="24"/>
              </w:rPr>
            </w:pPr>
            <w:r w:rsidRPr="0007739F">
              <w:rPr>
                <w:sz w:val="24"/>
              </w:rPr>
              <w:t>ВОЗМОЖНОСТИ</w:t>
            </w:r>
          </w:p>
        </w:tc>
        <w:tc>
          <w:tcPr>
            <w:tcW w:w="3641" w:type="dxa"/>
          </w:tcPr>
          <w:p w14:paraId="52BE3776" w14:textId="77777777" w:rsidR="00070539" w:rsidRPr="0007739F" w:rsidRDefault="00070539" w:rsidP="0007739F">
            <w:pPr>
              <w:pStyle w:val="af7"/>
              <w:jc w:val="center"/>
              <w:rPr>
                <w:sz w:val="24"/>
              </w:rPr>
            </w:pPr>
            <w:r w:rsidRPr="0007739F">
              <w:rPr>
                <w:sz w:val="24"/>
              </w:rPr>
              <w:t>УГРОЗЫ</w:t>
            </w:r>
          </w:p>
        </w:tc>
      </w:tr>
      <w:tr w:rsidR="00070539" w:rsidRPr="00983EC8" w14:paraId="1B7FF52C" w14:textId="77777777" w:rsidTr="00F5223B">
        <w:trPr>
          <w:trHeight w:val="302"/>
        </w:trPr>
        <w:tc>
          <w:tcPr>
            <w:tcW w:w="14562" w:type="dxa"/>
            <w:gridSpan w:val="4"/>
            <w:vAlign w:val="center"/>
          </w:tcPr>
          <w:p w14:paraId="6FA802CA" w14:textId="1D894793" w:rsidR="00070539" w:rsidRPr="0007739F" w:rsidRDefault="00C31C79" w:rsidP="0007739F">
            <w:pPr>
              <w:pStyle w:val="af7"/>
              <w:jc w:val="center"/>
              <w:rPr>
                <w:b/>
                <w:sz w:val="24"/>
              </w:rPr>
            </w:pPr>
            <w:r w:rsidRPr="0007739F">
              <w:rPr>
                <w:b/>
                <w:sz w:val="24"/>
              </w:rPr>
              <w:t>Общее</w:t>
            </w:r>
          </w:p>
        </w:tc>
      </w:tr>
      <w:tr w:rsidR="00070539" w:rsidRPr="00983EC8" w14:paraId="03E64BDE" w14:textId="77777777" w:rsidTr="00BB54C0">
        <w:trPr>
          <w:trHeight w:val="3000"/>
        </w:trPr>
        <w:tc>
          <w:tcPr>
            <w:tcW w:w="3640" w:type="dxa"/>
          </w:tcPr>
          <w:p w14:paraId="46506416" w14:textId="046D0DA1" w:rsidR="009F0316" w:rsidRPr="00983EC8" w:rsidRDefault="009F0316" w:rsidP="0007739F">
            <w:pPr>
              <w:pStyle w:val="af7"/>
              <w:rPr>
                <w:szCs w:val="20"/>
                <w:lang w:eastAsia="en-US"/>
              </w:rPr>
            </w:pPr>
            <w:r w:rsidRPr="00983EC8">
              <w:rPr>
                <w:szCs w:val="20"/>
                <w:lang w:eastAsia="en-US"/>
              </w:rPr>
              <w:t>-Природно-ресурсный потенциал для развития промышленного производства и ведения определенных видов сельскохозяйственной деятельности</w:t>
            </w:r>
          </w:p>
          <w:p w14:paraId="151C6B24" w14:textId="77777777" w:rsidR="009F0316" w:rsidRPr="00983EC8" w:rsidRDefault="009F0316" w:rsidP="0007739F">
            <w:pPr>
              <w:pStyle w:val="af7"/>
              <w:rPr>
                <w:szCs w:val="20"/>
                <w:lang w:eastAsia="en-US"/>
              </w:rPr>
            </w:pPr>
            <w:r w:rsidRPr="00983EC8">
              <w:rPr>
                <w:szCs w:val="20"/>
                <w:lang w:eastAsia="en-US"/>
              </w:rPr>
              <w:t>-Потенциал развития существующих природных и историко-культурных ресурсов</w:t>
            </w:r>
          </w:p>
          <w:p w14:paraId="6FC5F946" w14:textId="2050504F" w:rsidR="00B65322" w:rsidRPr="00983EC8" w:rsidRDefault="00B65322" w:rsidP="0007739F">
            <w:pPr>
              <w:pStyle w:val="af7"/>
              <w:rPr>
                <w:szCs w:val="20"/>
                <w:lang w:eastAsia="en-US"/>
              </w:rPr>
            </w:pPr>
            <w:r w:rsidRPr="00983EC8">
              <w:rPr>
                <w:szCs w:val="20"/>
              </w:rPr>
              <w:t>-Выгодное географическое расположение</w:t>
            </w:r>
          </w:p>
          <w:p w14:paraId="481461DE" w14:textId="7340DC74" w:rsidR="00070539" w:rsidRPr="00983EC8" w:rsidRDefault="009F0316" w:rsidP="0007739F">
            <w:pPr>
              <w:pStyle w:val="af7"/>
            </w:pPr>
            <w:r w:rsidRPr="00983EC8">
              <w:t>-Расположение района на пересечении федеральных и региональных транспортных коридоров, наличие развитых элементов транспортного узла</w:t>
            </w:r>
          </w:p>
        </w:tc>
        <w:tc>
          <w:tcPr>
            <w:tcW w:w="3640" w:type="dxa"/>
          </w:tcPr>
          <w:p w14:paraId="264E429D" w14:textId="44E0AC78" w:rsidR="008F28DD" w:rsidRPr="00983EC8" w:rsidRDefault="00B65322" w:rsidP="0007739F">
            <w:pPr>
              <w:pStyle w:val="af7"/>
            </w:pPr>
            <w:r w:rsidRPr="00983EC8">
              <w:t>-</w:t>
            </w:r>
            <w:r w:rsidR="008F28DD" w:rsidRPr="00983EC8">
              <w:t>Дифференциация в уровне развития территории района, более высокая инфраструктурная обеспеченность (жилищно-коммунальной, транспортной, социальной инфраструктурой)</w:t>
            </w:r>
            <w:r w:rsidR="00BB0ABA" w:rsidRPr="00983EC8">
              <w:t xml:space="preserve"> крупных поселений гп. Пойковский и сп. Салым</w:t>
            </w:r>
          </w:p>
          <w:p w14:paraId="47C5E648" w14:textId="77777777" w:rsidR="00070539" w:rsidRPr="00983EC8" w:rsidRDefault="00B65322" w:rsidP="0007739F">
            <w:pPr>
              <w:pStyle w:val="af7"/>
            </w:pPr>
            <w:r w:rsidRPr="00983EC8">
              <w:t>-</w:t>
            </w:r>
            <w:r w:rsidR="007D38DE" w:rsidRPr="00983EC8">
              <w:t>Недостаток инфраструктурно обеспеченных пр</w:t>
            </w:r>
            <w:r w:rsidR="008F28DD" w:rsidRPr="00983EC8">
              <w:t>омышленных и инвестиционных пло</w:t>
            </w:r>
            <w:r w:rsidR="007D38DE" w:rsidRPr="00983EC8">
              <w:t>щ</w:t>
            </w:r>
            <w:r w:rsidR="008F28DD" w:rsidRPr="00983EC8">
              <w:t>а</w:t>
            </w:r>
            <w:r w:rsidR="007D38DE" w:rsidRPr="00983EC8">
              <w:t>док</w:t>
            </w:r>
          </w:p>
          <w:p w14:paraId="50FB66E0" w14:textId="63EB2A4E" w:rsidR="002F34F7" w:rsidRPr="00983EC8" w:rsidRDefault="002F34F7" w:rsidP="0007739F">
            <w:pPr>
              <w:pStyle w:val="af7"/>
            </w:pPr>
            <w:r w:rsidRPr="00983EC8">
              <w:t xml:space="preserve">-Преобладание малоценных древесных пород при больших объемах лесного фонда </w:t>
            </w:r>
          </w:p>
        </w:tc>
        <w:tc>
          <w:tcPr>
            <w:tcW w:w="3641" w:type="dxa"/>
          </w:tcPr>
          <w:p w14:paraId="10C9F24C" w14:textId="4E2FB991" w:rsidR="00070539" w:rsidRPr="00983EC8" w:rsidRDefault="00B65322" w:rsidP="0007739F">
            <w:pPr>
              <w:pStyle w:val="af7"/>
            </w:pPr>
            <w:r w:rsidRPr="00983EC8">
              <w:t>-</w:t>
            </w:r>
            <w:r w:rsidR="00135353" w:rsidRPr="00983EC8">
              <w:t>Развитие строительной отрасли и производства строительных материалов на основе собственных ресурсов района</w:t>
            </w:r>
          </w:p>
          <w:p w14:paraId="77E0DEB5" w14:textId="17EED8CE" w:rsidR="00135353" w:rsidRPr="00983EC8" w:rsidRDefault="00B65322" w:rsidP="0007739F">
            <w:pPr>
              <w:pStyle w:val="af7"/>
            </w:pPr>
            <w:r w:rsidRPr="00983EC8">
              <w:t>-</w:t>
            </w:r>
            <w:r w:rsidR="00135353" w:rsidRPr="00983EC8">
              <w:t>Развитие туристско-рекреационной отрасли и туристский инфраструктуры</w:t>
            </w:r>
          </w:p>
          <w:p w14:paraId="63B12691" w14:textId="4100043E" w:rsidR="0071555F" w:rsidRPr="00983EC8" w:rsidRDefault="00B65322" w:rsidP="0007739F">
            <w:pPr>
              <w:pStyle w:val="af7"/>
            </w:pPr>
            <w:r w:rsidRPr="00983EC8">
              <w:t>-</w:t>
            </w:r>
            <w:r w:rsidR="0071555F" w:rsidRPr="00983EC8">
              <w:t>Развитие межпоселенческих транспортных связей между главными центрами «локальных агломераций» округа и отдаленными поселениями в их составе</w:t>
            </w:r>
          </w:p>
          <w:p w14:paraId="6F69EE82" w14:textId="38AF9B36" w:rsidR="00A4063C" w:rsidRPr="00983EC8" w:rsidRDefault="00B65322" w:rsidP="0007739F">
            <w:pPr>
              <w:pStyle w:val="af7"/>
            </w:pPr>
            <w:r w:rsidRPr="00983EC8">
              <w:t>-</w:t>
            </w:r>
            <w:r w:rsidR="00A4063C" w:rsidRPr="00983EC8">
              <w:t>Использование потенциала рынков сбыта крупных региональных центров</w:t>
            </w:r>
          </w:p>
          <w:p w14:paraId="57A6886C" w14:textId="43E2348B" w:rsidR="00B40D3B" w:rsidRPr="00983EC8" w:rsidRDefault="00B65322" w:rsidP="0007739F">
            <w:pPr>
              <w:pStyle w:val="af7"/>
            </w:pPr>
            <w:r w:rsidRPr="00983EC8">
              <w:t>-</w:t>
            </w:r>
            <w:r w:rsidR="00B40D3B" w:rsidRPr="00983EC8">
              <w:t>Развитие «сервисных» функций района по отношению к агломерации</w:t>
            </w:r>
            <w:r w:rsidR="004678DE" w:rsidRPr="00983EC8">
              <w:t xml:space="preserve"> «Сургут-Нефтеюганск»</w:t>
            </w:r>
          </w:p>
        </w:tc>
        <w:tc>
          <w:tcPr>
            <w:tcW w:w="3641" w:type="dxa"/>
          </w:tcPr>
          <w:p w14:paraId="5B0B1A85" w14:textId="58068EBD" w:rsidR="00070539" w:rsidRPr="00983EC8" w:rsidRDefault="00B65322" w:rsidP="0007739F">
            <w:pPr>
              <w:pStyle w:val="af7"/>
            </w:pPr>
            <w:r w:rsidRPr="00983EC8">
              <w:t>-</w:t>
            </w:r>
            <w:r w:rsidR="00EA53CA" w:rsidRPr="00983EC8">
              <w:t xml:space="preserve">Конкуренция с соседними районами и крупными региональными центрами (г. Сургут, г. Ханты-Мансийск) за </w:t>
            </w:r>
            <w:r w:rsidR="009E4D86" w:rsidRPr="00983EC8">
              <w:t>трудовые и инвестиционные ресурсы</w:t>
            </w:r>
          </w:p>
          <w:p w14:paraId="2ACC8A67" w14:textId="0E9EC520" w:rsidR="00BA4AEE" w:rsidRPr="00983EC8" w:rsidRDefault="00B65322" w:rsidP="0007739F">
            <w:pPr>
              <w:pStyle w:val="af7"/>
            </w:pPr>
            <w:r w:rsidRPr="00983EC8">
              <w:t>-</w:t>
            </w:r>
            <w:r w:rsidR="00BA4AEE" w:rsidRPr="00983EC8">
              <w:t>Закрепление существующей экономической специализации района и отставание от соседних муниципальных образований по уровню инновационного развития</w:t>
            </w:r>
          </w:p>
        </w:tc>
      </w:tr>
      <w:tr w:rsidR="00F5223B" w:rsidRPr="00983EC8" w14:paraId="0819DD91" w14:textId="77777777" w:rsidTr="00F5223B">
        <w:trPr>
          <w:trHeight w:val="371"/>
        </w:trPr>
        <w:tc>
          <w:tcPr>
            <w:tcW w:w="14562" w:type="dxa"/>
            <w:gridSpan w:val="4"/>
            <w:vAlign w:val="center"/>
          </w:tcPr>
          <w:p w14:paraId="1C29BBE4" w14:textId="2D4B4BFC" w:rsidR="00F5223B" w:rsidRPr="0007739F" w:rsidRDefault="0012123E" w:rsidP="0007739F">
            <w:pPr>
              <w:pStyle w:val="af7"/>
              <w:jc w:val="center"/>
              <w:rPr>
                <w:b/>
                <w:sz w:val="24"/>
              </w:rPr>
            </w:pPr>
            <w:r w:rsidRPr="0007739F">
              <w:rPr>
                <w:b/>
                <w:sz w:val="24"/>
              </w:rPr>
              <w:t>Промышленное производство</w:t>
            </w:r>
          </w:p>
        </w:tc>
      </w:tr>
      <w:tr w:rsidR="0012123E" w:rsidRPr="00983EC8" w14:paraId="4D2E854C" w14:textId="77777777" w:rsidTr="00F5223B">
        <w:trPr>
          <w:trHeight w:val="371"/>
        </w:trPr>
        <w:tc>
          <w:tcPr>
            <w:tcW w:w="3640" w:type="dxa"/>
          </w:tcPr>
          <w:p w14:paraId="131F1375" w14:textId="172C1311" w:rsidR="0012123E" w:rsidRPr="00983EC8" w:rsidRDefault="00223646" w:rsidP="0007739F">
            <w:pPr>
              <w:pStyle w:val="af7"/>
            </w:pPr>
            <w:r w:rsidRPr="00983EC8">
              <w:t>-</w:t>
            </w:r>
            <w:r w:rsidR="00FD058F" w:rsidRPr="00983EC8">
              <w:t>Высокая доля</w:t>
            </w:r>
            <w:r w:rsidR="0012123E" w:rsidRPr="00983EC8">
              <w:t xml:space="preserve"> экономичес</w:t>
            </w:r>
            <w:r w:rsidR="00916381" w:rsidRPr="00983EC8">
              <w:t>ки активного населения (более 90</w:t>
            </w:r>
            <w:r w:rsidR="0012123E" w:rsidRPr="00983EC8">
              <w:t xml:space="preserve">% </w:t>
            </w:r>
            <w:r w:rsidR="00916381" w:rsidRPr="00983EC8">
              <w:t>трудоспособного возраста)</w:t>
            </w:r>
          </w:p>
          <w:p w14:paraId="2A3A29A6" w14:textId="10E4229C" w:rsidR="0012123E" w:rsidRPr="00983EC8" w:rsidRDefault="00223646" w:rsidP="0007739F">
            <w:pPr>
              <w:pStyle w:val="af7"/>
            </w:pPr>
            <w:r w:rsidRPr="00983EC8">
              <w:t>-</w:t>
            </w:r>
            <w:r w:rsidR="00916381" w:rsidRPr="00983EC8">
              <w:t>Наличие крупных предприятий в отрасли нефтедобычи и нефтегазового машиностроения</w:t>
            </w:r>
          </w:p>
          <w:p w14:paraId="69288C76" w14:textId="1B106D53" w:rsidR="00916381" w:rsidRPr="00983EC8" w:rsidRDefault="00223646" w:rsidP="0007739F">
            <w:pPr>
              <w:pStyle w:val="af7"/>
            </w:pPr>
            <w:r w:rsidRPr="00983EC8">
              <w:t xml:space="preserve">-Стабильные темпы роста промышленного производства районных предприятий </w:t>
            </w:r>
          </w:p>
          <w:p w14:paraId="07B9E4CA" w14:textId="77777777" w:rsidR="0012123E" w:rsidRPr="00983EC8" w:rsidRDefault="0012123E" w:rsidP="0007739F">
            <w:pPr>
              <w:pStyle w:val="af7"/>
            </w:pPr>
          </w:p>
        </w:tc>
        <w:tc>
          <w:tcPr>
            <w:tcW w:w="3640" w:type="dxa"/>
          </w:tcPr>
          <w:p w14:paraId="400D2338" w14:textId="14B7E41D" w:rsidR="0012123E" w:rsidRPr="00983EC8" w:rsidRDefault="00223646" w:rsidP="0007739F">
            <w:pPr>
              <w:pStyle w:val="af7"/>
            </w:pPr>
            <w:r w:rsidRPr="00983EC8">
              <w:t>-</w:t>
            </w:r>
            <w:r w:rsidR="0012123E" w:rsidRPr="00983EC8">
              <w:t xml:space="preserve">Высокая концентрация промышленного производства </w:t>
            </w:r>
            <w:r w:rsidR="007C6823" w:rsidRPr="00983EC8">
              <w:t xml:space="preserve">и инвестиционной активности </w:t>
            </w:r>
            <w:r w:rsidR="0012123E" w:rsidRPr="00983EC8">
              <w:t>в добывающем (нефтегазовом) секто</w:t>
            </w:r>
            <w:r w:rsidR="00FC3172">
              <w:t xml:space="preserve">ре или обслуживании добывающего </w:t>
            </w:r>
            <w:r w:rsidR="0012123E" w:rsidRPr="00983EC8">
              <w:t>сектора</w:t>
            </w:r>
          </w:p>
          <w:p w14:paraId="530CE48C" w14:textId="63DBA1CE" w:rsidR="0012123E" w:rsidRPr="00983EC8" w:rsidRDefault="00223646" w:rsidP="0007739F">
            <w:pPr>
              <w:pStyle w:val="af7"/>
            </w:pPr>
            <w:r w:rsidRPr="00983EC8">
              <w:t>-Низкая доля</w:t>
            </w:r>
            <w:r w:rsidR="0012123E" w:rsidRPr="00983EC8">
              <w:t xml:space="preserve"> добавочной стоимости</w:t>
            </w:r>
            <w:r w:rsidRPr="00983EC8">
              <w:t xml:space="preserve"> добывающих производств</w:t>
            </w:r>
            <w:r w:rsidR="002F34F7" w:rsidRPr="00983EC8">
              <w:t>,</w:t>
            </w:r>
            <w:r w:rsidR="0012123E" w:rsidRPr="00983EC8">
              <w:t xml:space="preserve"> </w:t>
            </w:r>
            <w:r w:rsidRPr="00983EC8">
              <w:t>остающейся на территории района</w:t>
            </w:r>
          </w:p>
          <w:p w14:paraId="5405EE0C" w14:textId="4E47BD02" w:rsidR="0012123E" w:rsidRPr="00983EC8" w:rsidRDefault="00283E7E" w:rsidP="0007739F">
            <w:pPr>
              <w:pStyle w:val="af7"/>
            </w:pPr>
            <w:r w:rsidRPr="00983EC8">
              <w:t>-</w:t>
            </w:r>
            <w:r w:rsidR="0012123E" w:rsidRPr="00983EC8">
              <w:t xml:space="preserve">Недостаточное развитие </w:t>
            </w:r>
            <w:r w:rsidR="002F34F7" w:rsidRPr="00983EC8">
              <w:t>обрабатывающей промышленности, не связанной с обслуживанием нефтегазового сектора</w:t>
            </w:r>
          </w:p>
          <w:p w14:paraId="028A3082" w14:textId="49E2A0B6" w:rsidR="0012123E" w:rsidRPr="00983EC8" w:rsidRDefault="00283E7E" w:rsidP="0007739F">
            <w:pPr>
              <w:pStyle w:val="af7"/>
            </w:pPr>
            <w:r w:rsidRPr="00983EC8">
              <w:t>-Ориентация предприятий</w:t>
            </w:r>
            <w:r w:rsidR="0012123E" w:rsidRPr="00983EC8">
              <w:t xml:space="preserve"> лесопромышленного комплекса на </w:t>
            </w:r>
            <w:r w:rsidR="0012123E" w:rsidRPr="00983EC8">
              <w:lastRenderedPageBreak/>
              <w:t>лесозаготовки и производство деловой древесины – продукции с ни</w:t>
            </w:r>
            <w:r w:rsidRPr="00983EC8">
              <w:t>зкой добавленной стоимостью</w:t>
            </w:r>
          </w:p>
          <w:p w14:paraId="0A739F28" w14:textId="77777777" w:rsidR="0012123E" w:rsidRPr="00983EC8" w:rsidRDefault="0012123E" w:rsidP="0007739F">
            <w:pPr>
              <w:pStyle w:val="af7"/>
            </w:pPr>
          </w:p>
          <w:p w14:paraId="10AD704B" w14:textId="77777777" w:rsidR="0012123E" w:rsidRPr="00983EC8" w:rsidRDefault="0012123E" w:rsidP="0007739F">
            <w:pPr>
              <w:pStyle w:val="af7"/>
            </w:pPr>
          </w:p>
          <w:p w14:paraId="018AC046" w14:textId="77777777" w:rsidR="0012123E" w:rsidRPr="00983EC8" w:rsidRDefault="0012123E" w:rsidP="0007739F">
            <w:pPr>
              <w:pStyle w:val="af7"/>
            </w:pPr>
          </w:p>
        </w:tc>
        <w:tc>
          <w:tcPr>
            <w:tcW w:w="3641" w:type="dxa"/>
          </w:tcPr>
          <w:p w14:paraId="68B99E8A" w14:textId="54BED9ED" w:rsidR="0012123E" w:rsidRPr="00983EC8" w:rsidRDefault="00AA739C" w:rsidP="0007739F">
            <w:pPr>
              <w:pStyle w:val="af7"/>
            </w:pPr>
            <w:r w:rsidRPr="00983EC8">
              <w:lastRenderedPageBreak/>
              <w:t>-</w:t>
            </w:r>
            <w:r w:rsidR="0085434F" w:rsidRPr="00983EC8">
              <w:t>Диверсификация</w:t>
            </w:r>
            <w:r w:rsidR="0012123E" w:rsidRPr="00983EC8">
              <w:t xml:space="preserve"> экономики, </w:t>
            </w:r>
            <w:r w:rsidRPr="00983EC8">
              <w:t>локализация цепочек добавленной стоимости на территории района</w:t>
            </w:r>
          </w:p>
          <w:p w14:paraId="1B4919EA" w14:textId="6D0ECF1F" w:rsidR="0085434F" w:rsidRPr="00983EC8" w:rsidRDefault="00AA739C" w:rsidP="0007739F">
            <w:pPr>
              <w:pStyle w:val="af7"/>
            </w:pPr>
            <w:r w:rsidRPr="00983EC8">
              <w:t>-</w:t>
            </w:r>
            <w:r w:rsidR="0085434F" w:rsidRPr="00983EC8">
              <w:t>Развитие кластера нефтегазодобычи, нефтегазоперерабатывающей и нефтегазохимической промышленности</w:t>
            </w:r>
          </w:p>
          <w:p w14:paraId="3403F2A8" w14:textId="03CB2C43" w:rsidR="0012123E" w:rsidRPr="00983EC8" w:rsidRDefault="00083429" w:rsidP="0007739F">
            <w:pPr>
              <w:pStyle w:val="af7"/>
            </w:pPr>
            <w:r w:rsidRPr="00983EC8">
              <w:t>-</w:t>
            </w:r>
            <w:r w:rsidR="0012123E" w:rsidRPr="00983EC8">
              <w:t>Повышение качества добыч</w:t>
            </w:r>
            <w:r w:rsidRPr="00983EC8">
              <w:t>и полезных ископаемых: повышение</w:t>
            </w:r>
            <w:r w:rsidR="0012123E" w:rsidRPr="00983EC8">
              <w:t xml:space="preserve"> отдачи пластов и их довыработки, а также </w:t>
            </w:r>
            <w:r w:rsidRPr="00983EC8">
              <w:t>уровня переработки</w:t>
            </w:r>
            <w:r w:rsidR="0012123E" w:rsidRPr="00983EC8">
              <w:t xml:space="preserve"> за счет внедрения новых </w:t>
            </w:r>
            <w:r w:rsidRPr="00983EC8">
              <w:t>технологий</w:t>
            </w:r>
          </w:p>
          <w:p w14:paraId="29AF28E0" w14:textId="5360B47D" w:rsidR="008D553B" w:rsidRPr="00983EC8" w:rsidRDefault="00083429" w:rsidP="0007739F">
            <w:pPr>
              <w:pStyle w:val="af7"/>
            </w:pPr>
            <w:r w:rsidRPr="00983EC8">
              <w:t>-</w:t>
            </w:r>
            <w:r w:rsidR="008D553B" w:rsidRPr="00983EC8">
              <w:t xml:space="preserve">Развитие отраслей машиностроения и металлообработки (ремонт машин, нефтепромыслового и бурового </w:t>
            </w:r>
            <w:r w:rsidR="008D553B" w:rsidRPr="00983EC8">
              <w:lastRenderedPageBreak/>
              <w:t>оборудования, изготовление металлических конструкций и изделий, антикор</w:t>
            </w:r>
            <w:r w:rsidRPr="00983EC8">
              <w:t>розионная обработка труб</w:t>
            </w:r>
            <w:r w:rsidR="008D553B" w:rsidRPr="00983EC8">
              <w:t>)</w:t>
            </w:r>
          </w:p>
          <w:p w14:paraId="1680E303" w14:textId="3DF4E738" w:rsidR="0012123E" w:rsidRPr="00983EC8" w:rsidRDefault="00083429" w:rsidP="0007739F">
            <w:pPr>
              <w:pStyle w:val="af7"/>
            </w:pPr>
            <w:r w:rsidRPr="00983EC8">
              <w:t>-</w:t>
            </w:r>
            <w:r w:rsidR="0012123E" w:rsidRPr="00983EC8">
              <w:t xml:space="preserve">Развитие лесопромышленного комплекса за счет </w:t>
            </w:r>
            <w:r w:rsidRPr="00983EC8">
              <w:t>глубокой</w:t>
            </w:r>
            <w:r w:rsidR="0012123E" w:rsidRPr="00983EC8">
              <w:t xml:space="preserve"> переработки древесины – производство продукции </w:t>
            </w:r>
            <w:r w:rsidR="002F7DC8" w:rsidRPr="00983EC8">
              <w:t>с высокой добавочной стоимостью</w:t>
            </w:r>
          </w:p>
          <w:p w14:paraId="681BFC09" w14:textId="4E0E9774" w:rsidR="002F7DC8" w:rsidRPr="00983EC8" w:rsidRDefault="00083429" w:rsidP="0007739F">
            <w:pPr>
              <w:pStyle w:val="af7"/>
            </w:pPr>
            <w:r w:rsidRPr="00983EC8">
              <w:t>-</w:t>
            </w:r>
            <w:r w:rsidR="002F7DC8" w:rsidRPr="00983EC8">
              <w:t>Выявление инфраструктурных возможностей для реализации инвестиционных проектов и вовлечение природно-ресурсного потенциала в инвестиционный процесс</w:t>
            </w:r>
          </w:p>
          <w:p w14:paraId="42FEFB52" w14:textId="65526790" w:rsidR="0012123E" w:rsidRPr="00983EC8" w:rsidRDefault="00083429" w:rsidP="0007739F">
            <w:pPr>
              <w:pStyle w:val="af7"/>
            </w:pPr>
            <w:r w:rsidRPr="00983EC8">
              <w:t>-</w:t>
            </w:r>
            <w:r w:rsidR="0012123E" w:rsidRPr="00983EC8">
              <w:t>Р</w:t>
            </w:r>
            <w:r w:rsidR="002F7DC8" w:rsidRPr="00983EC8">
              <w:t>азвитие</w:t>
            </w:r>
            <w:r w:rsidR="0012123E" w:rsidRPr="00983EC8">
              <w:t xml:space="preserve"> малого и среднего предпринимательства в промышленной сфере и новых отраслях</w:t>
            </w:r>
          </w:p>
        </w:tc>
        <w:tc>
          <w:tcPr>
            <w:tcW w:w="3641" w:type="dxa"/>
          </w:tcPr>
          <w:p w14:paraId="1364C932" w14:textId="47C1EB95" w:rsidR="0012123E" w:rsidRPr="00983EC8" w:rsidRDefault="00850E95" w:rsidP="0007739F">
            <w:pPr>
              <w:pStyle w:val="af7"/>
            </w:pPr>
            <w:r w:rsidRPr="00983EC8">
              <w:lastRenderedPageBreak/>
              <w:t>-</w:t>
            </w:r>
            <w:r w:rsidR="0012123E" w:rsidRPr="00983EC8">
              <w:t>Спад производства в добывающем секторе в связи с</w:t>
            </w:r>
            <w:r w:rsidRPr="00983EC8">
              <w:t xml:space="preserve"> внешними факторами</w:t>
            </w:r>
          </w:p>
          <w:p w14:paraId="1C873272" w14:textId="47A23C1C" w:rsidR="0012123E" w:rsidRPr="00983EC8" w:rsidRDefault="00850E95" w:rsidP="0007739F">
            <w:pPr>
              <w:pStyle w:val="af7"/>
            </w:pPr>
            <w:r w:rsidRPr="00983EC8">
              <w:t>-Ухудшение экологической ситуации в связи с развитие нефтегазодобывающего кластера на территории района</w:t>
            </w:r>
          </w:p>
          <w:p w14:paraId="54B704D6" w14:textId="77777777" w:rsidR="00305AD7" w:rsidRPr="00983EC8" w:rsidRDefault="00B444FC" w:rsidP="0007739F">
            <w:pPr>
              <w:pStyle w:val="af7"/>
            </w:pPr>
            <w:r w:rsidRPr="00983EC8">
              <w:t>-</w:t>
            </w:r>
            <w:r w:rsidR="0012123E" w:rsidRPr="00983EC8">
              <w:t xml:space="preserve">Износ основных фондов </w:t>
            </w:r>
            <w:r w:rsidRPr="00983EC8">
              <w:t>предприятий</w:t>
            </w:r>
            <w:r w:rsidR="0012123E" w:rsidRPr="00983EC8">
              <w:t xml:space="preserve"> промышленности</w:t>
            </w:r>
          </w:p>
          <w:p w14:paraId="4AFC53FA" w14:textId="0C415E50" w:rsidR="007C6823" w:rsidRPr="00983EC8" w:rsidRDefault="00B444FC" w:rsidP="0007739F">
            <w:pPr>
              <w:pStyle w:val="af7"/>
            </w:pPr>
            <w:r w:rsidRPr="00983EC8">
              <w:t>-</w:t>
            </w:r>
            <w:r w:rsidR="007C6823" w:rsidRPr="00983EC8">
              <w:t>Сокращение инвестиционной активности предприятий в не</w:t>
            </w:r>
            <w:r w:rsidR="002F7DC8" w:rsidRPr="00983EC8">
              <w:t xml:space="preserve"> </w:t>
            </w:r>
            <w:r w:rsidR="007C6823" w:rsidRPr="00983EC8">
              <w:t>нефтегазовом секторе экономики</w:t>
            </w:r>
          </w:p>
        </w:tc>
      </w:tr>
      <w:tr w:rsidR="0012123E" w:rsidRPr="00983EC8" w14:paraId="4A3CF820" w14:textId="77777777" w:rsidTr="003F26D7">
        <w:trPr>
          <w:trHeight w:val="371"/>
        </w:trPr>
        <w:tc>
          <w:tcPr>
            <w:tcW w:w="14562" w:type="dxa"/>
            <w:gridSpan w:val="4"/>
          </w:tcPr>
          <w:p w14:paraId="4F27F05D" w14:textId="14A0DB96" w:rsidR="0012123E" w:rsidRPr="0007739F" w:rsidRDefault="0012123E" w:rsidP="0007739F">
            <w:pPr>
              <w:pStyle w:val="af7"/>
              <w:jc w:val="center"/>
              <w:rPr>
                <w:b/>
                <w:sz w:val="24"/>
              </w:rPr>
            </w:pPr>
            <w:r w:rsidRPr="0007739F">
              <w:rPr>
                <w:b/>
                <w:sz w:val="24"/>
              </w:rPr>
              <w:lastRenderedPageBreak/>
              <w:t>Агропромышленный комплекс</w:t>
            </w:r>
          </w:p>
        </w:tc>
      </w:tr>
      <w:tr w:rsidR="0012123E" w:rsidRPr="00983EC8" w14:paraId="6A415A93" w14:textId="77777777" w:rsidTr="00F5223B">
        <w:trPr>
          <w:trHeight w:val="371"/>
        </w:trPr>
        <w:tc>
          <w:tcPr>
            <w:tcW w:w="3640" w:type="dxa"/>
          </w:tcPr>
          <w:p w14:paraId="768A3E62" w14:textId="30883D86" w:rsidR="00EC5BED" w:rsidRPr="00983EC8" w:rsidRDefault="00EC5BED" w:rsidP="0007739F">
            <w:pPr>
              <w:pStyle w:val="af7"/>
            </w:pPr>
            <w:r w:rsidRPr="00983EC8">
              <w:t>-Положительная динамика показателей производства сельскохозяйственной продукции</w:t>
            </w:r>
          </w:p>
          <w:p w14:paraId="21E8BFED" w14:textId="68CD232D" w:rsidR="0012123E" w:rsidRPr="00983EC8" w:rsidRDefault="00EC5BED" w:rsidP="0007739F">
            <w:pPr>
              <w:pStyle w:val="af7"/>
            </w:pPr>
            <w:r w:rsidRPr="00983EC8">
              <w:t>-</w:t>
            </w:r>
            <w:r w:rsidR="0012123E" w:rsidRPr="00983EC8">
              <w:t>Всесторонняя государственная и муниципальная поддержка агропромышленного комплекса</w:t>
            </w:r>
          </w:p>
          <w:p w14:paraId="01E35401" w14:textId="30959BE4" w:rsidR="0012123E" w:rsidRPr="00983EC8" w:rsidRDefault="0012123E" w:rsidP="0007739F">
            <w:pPr>
              <w:pStyle w:val="af7"/>
            </w:pPr>
          </w:p>
        </w:tc>
        <w:tc>
          <w:tcPr>
            <w:tcW w:w="3640" w:type="dxa"/>
          </w:tcPr>
          <w:p w14:paraId="2F432508" w14:textId="77777777" w:rsidR="00EC5BED" w:rsidRPr="00983EC8" w:rsidRDefault="00EC5BED" w:rsidP="0007739F">
            <w:pPr>
              <w:pStyle w:val="af7"/>
            </w:pPr>
            <w:r w:rsidRPr="00983EC8">
              <w:t>-Р</w:t>
            </w:r>
            <w:r w:rsidR="00135353" w:rsidRPr="00983EC8">
              <w:t>азный уровень инфраструктурной обеспеченности сельскохозяйственного производства поселений</w:t>
            </w:r>
          </w:p>
          <w:p w14:paraId="35388251" w14:textId="51DDAD10" w:rsidR="0012123E" w:rsidRPr="00983EC8" w:rsidRDefault="00EC5BED" w:rsidP="0007739F">
            <w:pPr>
              <w:pStyle w:val="af7"/>
            </w:pPr>
            <w:r w:rsidRPr="00983EC8">
              <w:t>-</w:t>
            </w:r>
            <w:r w:rsidR="0012123E" w:rsidRPr="00983EC8">
              <w:t>Недостаточно развита переработка</w:t>
            </w:r>
            <w:r w:rsidRPr="00983EC8">
              <w:t xml:space="preserve"> сельскохозяйственной продукции</w:t>
            </w:r>
          </w:p>
          <w:p w14:paraId="091A65C9" w14:textId="75CCB82C" w:rsidR="0012123E" w:rsidRPr="00983EC8" w:rsidRDefault="00EC5BED" w:rsidP="0007739F">
            <w:pPr>
              <w:pStyle w:val="af7"/>
            </w:pPr>
            <w:r w:rsidRPr="00983EC8">
              <w:t>-</w:t>
            </w:r>
            <w:r w:rsidR="0012123E" w:rsidRPr="00983EC8">
              <w:t>Высокая себестоимость сельскохозяйств</w:t>
            </w:r>
            <w:r w:rsidRPr="00983EC8">
              <w:t>енного производства</w:t>
            </w:r>
          </w:p>
        </w:tc>
        <w:tc>
          <w:tcPr>
            <w:tcW w:w="3641" w:type="dxa"/>
          </w:tcPr>
          <w:p w14:paraId="6DE1B33B" w14:textId="1136B3BF" w:rsidR="0012123E" w:rsidRPr="00983EC8" w:rsidRDefault="00ED5E01" w:rsidP="0007739F">
            <w:pPr>
              <w:pStyle w:val="af7"/>
            </w:pPr>
            <w:r w:rsidRPr="00983EC8">
              <w:t>-Увеличение объёма</w:t>
            </w:r>
            <w:r w:rsidR="0012123E" w:rsidRPr="00983EC8">
              <w:t xml:space="preserve"> и глубины переработки основных видов</w:t>
            </w:r>
            <w:r w:rsidRPr="00983EC8">
              <w:t xml:space="preserve"> сельскохозяйственной продукции</w:t>
            </w:r>
          </w:p>
          <w:p w14:paraId="06A5CC48" w14:textId="12D73C67" w:rsidR="0012123E" w:rsidRPr="00983EC8" w:rsidRDefault="00ED5E01" w:rsidP="0007739F">
            <w:pPr>
              <w:pStyle w:val="af7"/>
            </w:pPr>
            <w:r w:rsidRPr="00983EC8">
              <w:t>-</w:t>
            </w:r>
            <w:r w:rsidR="0012123E" w:rsidRPr="00983EC8">
              <w:t>Модернизация производства сельскохозяйственной продукции за счет испол</w:t>
            </w:r>
            <w:r w:rsidRPr="00983EC8">
              <w:t>ьзования современных технологий</w:t>
            </w:r>
          </w:p>
          <w:p w14:paraId="219AA4B9" w14:textId="5159C9B7" w:rsidR="0012123E" w:rsidRPr="00983EC8" w:rsidRDefault="00ED5E01" w:rsidP="0007739F">
            <w:pPr>
              <w:pStyle w:val="af7"/>
            </w:pPr>
            <w:r w:rsidRPr="00983EC8">
              <w:t>-</w:t>
            </w:r>
            <w:r w:rsidR="0012123E" w:rsidRPr="00983EC8">
              <w:t>Налаживание и повышение эффективности взаимодействия в технологической цепочке производства и переработки</w:t>
            </w:r>
            <w:r w:rsidRPr="00983EC8">
              <w:t xml:space="preserve"> сельскохозяйственной продукции</w:t>
            </w:r>
          </w:p>
          <w:p w14:paraId="44AE1A62" w14:textId="5AC53A38" w:rsidR="0012123E" w:rsidRPr="00983EC8" w:rsidRDefault="00ED5E01" w:rsidP="0007739F">
            <w:pPr>
              <w:pStyle w:val="af7"/>
            </w:pPr>
            <w:r w:rsidRPr="00983EC8">
              <w:t>-</w:t>
            </w:r>
            <w:r w:rsidR="0012123E" w:rsidRPr="00983EC8">
              <w:t>Развитие сельскохозяйственной коопер</w:t>
            </w:r>
            <w:r w:rsidRPr="00983EC8">
              <w:t>ации, малых форм хозяйствования</w:t>
            </w:r>
          </w:p>
          <w:p w14:paraId="54BF8512" w14:textId="2FEC7F80" w:rsidR="0012123E" w:rsidRPr="00983EC8" w:rsidRDefault="00ED5E01" w:rsidP="0007739F">
            <w:pPr>
              <w:pStyle w:val="af7"/>
            </w:pPr>
            <w:r w:rsidRPr="00983EC8">
              <w:t>-</w:t>
            </w:r>
            <w:r w:rsidR="0012123E" w:rsidRPr="00983EC8">
              <w:t xml:space="preserve">Пересмотр условий государственной поддержки развития агропромышленного комплекса и принятие дополнительных мер для </w:t>
            </w:r>
            <w:r w:rsidR="0012123E" w:rsidRPr="00983EC8">
              <w:lastRenderedPageBreak/>
              <w:t>поддержки сельхозпроизводителей</w:t>
            </w:r>
          </w:p>
        </w:tc>
        <w:tc>
          <w:tcPr>
            <w:tcW w:w="3641" w:type="dxa"/>
          </w:tcPr>
          <w:p w14:paraId="398B6C9C" w14:textId="77777777" w:rsidR="0012123E" w:rsidRPr="00983EC8" w:rsidRDefault="00753576" w:rsidP="0007739F">
            <w:pPr>
              <w:pStyle w:val="af7"/>
            </w:pPr>
            <w:r w:rsidRPr="00983EC8">
              <w:lastRenderedPageBreak/>
              <w:t>-</w:t>
            </w:r>
            <w:r w:rsidR="0012123E" w:rsidRPr="00983EC8">
              <w:t>И</w:t>
            </w:r>
            <w:r w:rsidRPr="00983EC8">
              <w:t>зменение</w:t>
            </w:r>
            <w:r w:rsidR="0012123E" w:rsidRPr="00983EC8">
              <w:t xml:space="preserve"> условий предоставления субсидий в рамках государственной программы агропромышленного комплекса</w:t>
            </w:r>
          </w:p>
          <w:p w14:paraId="5260E516" w14:textId="191794B7" w:rsidR="001F57E5" w:rsidRPr="00983EC8" w:rsidRDefault="001F57E5" w:rsidP="0007739F">
            <w:pPr>
              <w:pStyle w:val="af7"/>
            </w:pPr>
            <w:r w:rsidRPr="00983EC8">
              <w:t>-Повышение себестоимости сельскохозяйственной продукции в связи с суровыми климатическими условиями</w:t>
            </w:r>
          </w:p>
        </w:tc>
      </w:tr>
      <w:tr w:rsidR="00F06B31" w:rsidRPr="00983EC8" w14:paraId="237C1228" w14:textId="77777777" w:rsidTr="003F26D7">
        <w:trPr>
          <w:trHeight w:val="371"/>
        </w:trPr>
        <w:tc>
          <w:tcPr>
            <w:tcW w:w="14562" w:type="dxa"/>
            <w:gridSpan w:val="4"/>
          </w:tcPr>
          <w:p w14:paraId="2CDC88E2" w14:textId="0832A8EA" w:rsidR="00F06B31" w:rsidRPr="0007739F" w:rsidRDefault="00954095" w:rsidP="0007739F">
            <w:pPr>
              <w:pStyle w:val="af7"/>
              <w:jc w:val="center"/>
              <w:rPr>
                <w:b/>
                <w:sz w:val="24"/>
              </w:rPr>
            </w:pPr>
            <w:r w:rsidRPr="0007739F">
              <w:rPr>
                <w:b/>
                <w:sz w:val="24"/>
              </w:rPr>
              <w:lastRenderedPageBreak/>
              <w:t>Малое и среднее предпринимательство</w:t>
            </w:r>
          </w:p>
        </w:tc>
      </w:tr>
      <w:tr w:rsidR="00954095" w:rsidRPr="00983EC8" w14:paraId="6BD10DE0" w14:textId="77777777" w:rsidTr="00F5223B">
        <w:trPr>
          <w:trHeight w:val="371"/>
        </w:trPr>
        <w:tc>
          <w:tcPr>
            <w:tcW w:w="3640" w:type="dxa"/>
          </w:tcPr>
          <w:p w14:paraId="78D7DEF6" w14:textId="77777777" w:rsidR="00970DD1" w:rsidRPr="00983EC8" w:rsidRDefault="00970DD1" w:rsidP="0007739F">
            <w:pPr>
              <w:pStyle w:val="af7"/>
            </w:pPr>
            <w:r w:rsidRPr="00983EC8">
              <w:t>-Увеличение числа СМСП</w:t>
            </w:r>
          </w:p>
          <w:p w14:paraId="7A61110B" w14:textId="4171F7D3" w:rsidR="00970DD1" w:rsidRPr="00983EC8" w:rsidRDefault="00970DD1" w:rsidP="0007739F">
            <w:pPr>
              <w:pStyle w:val="af7"/>
            </w:pPr>
            <w:r w:rsidRPr="00983EC8">
              <w:t>-Увеличение оборота СМСП</w:t>
            </w:r>
          </w:p>
          <w:p w14:paraId="3C086C55" w14:textId="21255FD9" w:rsidR="00954095" w:rsidRPr="00983EC8" w:rsidRDefault="00970DD1" w:rsidP="0007739F">
            <w:pPr>
              <w:pStyle w:val="af7"/>
            </w:pPr>
            <w:r w:rsidRPr="00983EC8">
              <w:t>-</w:t>
            </w:r>
            <w:r w:rsidR="00954095" w:rsidRPr="00983EC8">
              <w:t>Приоритет поддержки СМСП в политике администрации района, наличие мер поддержки СМСП (экономического и неэкономического характера)</w:t>
            </w:r>
          </w:p>
        </w:tc>
        <w:tc>
          <w:tcPr>
            <w:tcW w:w="3640" w:type="dxa"/>
          </w:tcPr>
          <w:p w14:paraId="798A06CD" w14:textId="25F147BC" w:rsidR="00954095" w:rsidRPr="00983EC8" w:rsidRDefault="00970DD1" w:rsidP="0007739F">
            <w:pPr>
              <w:pStyle w:val="af7"/>
            </w:pPr>
            <w:r w:rsidRPr="00983EC8">
              <w:t>-</w:t>
            </w:r>
            <w:r w:rsidR="00954095" w:rsidRPr="00983EC8">
              <w:t>Концентрация СМСП в отраслях потребительского спроса (розничной</w:t>
            </w:r>
            <w:r w:rsidRPr="00983EC8">
              <w:t xml:space="preserve"> торговле, сфере платных услуг)</w:t>
            </w:r>
          </w:p>
          <w:p w14:paraId="6E82E3BC" w14:textId="77777777" w:rsidR="00954095" w:rsidRPr="00983EC8" w:rsidRDefault="00970DD1" w:rsidP="0007739F">
            <w:pPr>
              <w:pStyle w:val="af7"/>
            </w:pPr>
            <w:r w:rsidRPr="00983EC8">
              <w:t>-Незначительный</w:t>
            </w:r>
            <w:r w:rsidR="00954095" w:rsidRPr="00983EC8">
              <w:t xml:space="preserve"> вклад СМСП в экономику района</w:t>
            </w:r>
          </w:p>
          <w:p w14:paraId="2A30DA5D" w14:textId="2DDEECD7" w:rsidR="00DD3FA2" w:rsidRPr="00983EC8" w:rsidRDefault="00DD3FA2" w:rsidP="0007739F">
            <w:pPr>
              <w:pStyle w:val="af7"/>
            </w:pPr>
            <w:r w:rsidRPr="00983EC8">
              <w:t>-Недостаточный уровень внутрирайонного спроса на продукцию СМСП</w:t>
            </w:r>
          </w:p>
        </w:tc>
        <w:tc>
          <w:tcPr>
            <w:tcW w:w="3641" w:type="dxa"/>
          </w:tcPr>
          <w:p w14:paraId="4156E64C" w14:textId="3A39143A" w:rsidR="00954095" w:rsidRPr="00983EC8" w:rsidRDefault="00A25A67" w:rsidP="0007739F">
            <w:pPr>
              <w:pStyle w:val="af7"/>
            </w:pPr>
            <w:r w:rsidRPr="00983EC8">
              <w:t>-</w:t>
            </w:r>
            <w:r w:rsidR="00954095" w:rsidRPr="00983EC8">
              <w:t>Развитие с</w:t>
            </w:r>
            <w:r w:rsidRPr="00983EC8">
              <w:t>оциального предпринимательства.</w:t>
            </w:r>
          </w:p>
          <w:p w14:paraId="3DCDD2B8" w14:textId="12FCF0A5" w:rsidR="00954095" w:rsidRPr="00983EC8" w:rsidRDefault="00A25A67" w:rsidP="0007739F">
            <w:pPr>
              <w:pStyle w:val="af7"/>
            </w:pPr>
            <w:r w:rsidRPr="00983EC8">
              <w:t>-</w:t>
            </w:r>
            <w:r w:rsidR="00954095" w:rsidRPr="00983EC8">
              <w:t>Поддержка</w:t>
            </w:r>
            <w:r w:rsidRPr="00983EC8">
              <w:t xml:space="preserve"> экспортно-ориентированных СМСП</w:t>
            </w:r>
          </w:p>
          <w:p w14:paraId="1C199FE8" w14:textId="1C1435A7" w:rsidR="00954095" w:rsidRPr="00983EC8" w:rsidRDefault="00A25A67" w:rsidP="0007739F">
            <w:pPr>
              <w:pStyle w:val="af7"/>
            </w:pPr>
            <w:r w:rsidRPr="00983EC8">
              <w:t>-</w:t>
            </w:r>
            <w:r w:rsidR="00954095" w:rsidRPr="00983EC8">
              <w:t>Создание условий коопе</w:t>
            </w:r>
            <w:r w:rsidRPr="00983EC8">
              <w:t>рации крупного и малого бизнеса</w:t>
            </w:r>
          </w:p>
          <w:p w14:paraId="1E185090" w14:textId="60739D02" w:rsidR="00954095" w:rsidRPr="00983EC8" w:rsidRDefault="00A25A67" w:rsidP="0007739F">
            <w:pPr>
              <w:pStyle w:val="af7"/>
            </w:pPr>
            <w:r w:rsidRPr="00983EC8">
              <w:t>-</w:t>
            </w:r>
            <w:r w:rsidR="00954095" w:rsidRPr="00983EC8">
              <w:t>Стимулирование разв</w:t>
            </w:r>
            <w:r w:rsidRPr="00983EC8">
              <w:t>ития СМСП в «зеленой» экономике</w:t>
            </w:r>
          </w:p>
          <w:p w14:paraId="2F35E153" w14:textId="77777777" w:rsidR="00954095" w:rsidRPr="00983EC8" w:rsidRDefault="00954095" w:rsidP="0007739F">
            <w:pPr>
              <w:pStyle w:val="af7"/>
            </w:pPr>
          </w:p>
        </w:tc>
        <w:tc>
          <w:tcPr>
            <w:tcW w:w="3641" w:type="dxa"/>
          </w:tcPr>
          <w:p w14:paraId="0FBA9833" w14:textId="226C59A3" w:rsidR="00026A52" w:rsidRPr="00983EC8" w:rsidRDefault="00A25A67" w:rsidP="0007739F">
            <w:pPr>
              <w:pStyle w:val="af7"/>
            </w:pPr>
            <w:r w:rsidRPr="00983EC8">
              <w:t>-</w:t>
            </w:r>
            <w:r w:rsidR="00954095" w:rsidRPr="00983EC8">
              <w:t>Сокращение потребительского спроса</w:t>
            </w:r>
            <w:r w:rsidR="00026A52" w:rsidRPr="00983EC8">
              <w:t xml:space="preserve"> на товары и услуги</w:t>
            </w:r>
            <w:r w:rsidR="00954095" w:rsidRPr="00983EC8">
              <w:t xml:space="preserve"> вследствие падения </w:t>
            </w:r>
            <w:r w:rsidRPr="00983EC8">
              <w:t>располагаемых доходов населения</w:t>
            </w:r>
          </w:p>
          <w:p w14:paraId="31B77BD6" w14:textId="731BA6DE" w:rsidR="0063525F" w:rsidRPr="00983EC8" w:rsidRDefault="0063525F" w:rsidP="0007739F">
            <w:pPr>
              <w:pStyle w:val="af7"/>
            </w:pPr>
            <w:r w:rsidRPr="00983EC8">
              <w:t>-</w:t>
            </w:r>
            <w:r w:rsidR="00305AD7" w:rsidRPr="00983EC8">
              <w:t xml:space="preserve">Сложности сбыта продукции СМСП и </w:t>
            </w:r>
            <w:r w:rsidR="009A4CCF" w:rsidRPr="00983EC8">
              <w:t>заключения контрактов с</w:t>
            </w:r>
            <w:r w:rsidR="00305AD7" w:rsidRPr="00983EC8">
              <w:t xml:space="preserve"> </w:t>
            </w:r>
            <w:r w:rsidR="009A4CCF" w:rsidRPr="00983EC8">
              <w:t>крупными</w:t>
            </w:r>
            <w:r w:rsidR="00305AD7" w:rsidRPr="00983EC8">
              <w:t xml:space="preserve"> </w:t>
            </w:r>
            <w:r w:rsidR="009A4CCF" w:rsidRPr="00983EC8">
              <w:t>торговыми сетями</w:t>
            </w:r>
          </w:p>
          <w:p w14:paraId="41120831" w14:textId="77777777" w:rsidR="00954095" w:rsidRPr="00983EC8" w:rsidRDefault="00954095" w:rsidP="0007739F">
            <w:pPr>
              <w:pStyle w:val="af7"/>
            </w:pPr>
          </w:p>
        </w:tc>
      </w:tr>
      <w:tr w:rsidR="008B2AFD" w:rsidRPr="00983EC8" w14:paraId="0F06E9EE" w14:textId="77777777" w:rsidTr="003F26D7">
        <w:trPr>
          <w:trHeight w:val="371"/>
        </w:trPr>
        <w:tc>
          <w:tcPr>
            <w:tcW w:w="14562" w:type="dxa"/>
            <w:gridSpan w:val="4"/>
          </w:tcPr>
          <w:p w14:paraId="7A50F654" w14:textId="2F044A4A" w:rsidR="008B2AFD" w:rsidRPr="0007739F" w:rsidRDefault="008B2AFD" w:rsidP="0007739F">
            <w:pPr>
              <w:pStyle w:val="af7"/>
              <w:jc w:val="center"/>
              <w:rPr>
                <w:b/>
                <w:sz w:val="24"/>
              </w:rPr>
            </w:pPr>
            <w:r w:rsidRPr="0007739F">
              <w:rPr>
                <w:b/>
                <w:sz w:val="24"/>
              </w:rPr>
              <w:t>Розничная торговля и потребительский рынок</w:t>
            </w:r>
          </w:p>
        </w:tc>
      </w:tr>
      <w:tr w:rsidR="008B2AFD" w:rsidRPr="00983EC8" w14:paraId="1358B3A1" w14:textId="77777777" w:rsidTr="00F5223B">
        <w:trPr>
          <w:trHeight w:val="371"/>
        </w:trPr>
        <w:tc>
          <w:tcPr>
            <w:tcW w:w="3640" w:type="dxa"/>
          </w:tcPr>
          <w:p w14:paraId="2FB83BD7" w14:textId="2D55D558" w:rsidR="008B2AFD" w:rsidRPr="00983EC8" w:rsidRDefault="00355537" w:rsidP="0007739F">
            <w:pPr>
              <w:pStyle w:val="af7"/>
            </w:pPr>
            <w:r w:rsidRPr="00983EC8">
              <w:t>-</w:t>
            </w:r>
            <w:r w:rsidR="008B2AFD" w:rsidRPr="00983EC8">
              <w:t xml:space="preserve">Устойчивый рост объемов розничного </w:t>
            </w:r>
            <w:r w:rsidRPr="00983EC8">
              <w:t>оборота, общественного питания</w:t>
            </w:r>
          </w:p>
          <w:p w14:paraId="287FD5CA" w14:textId="48C6A255" w:rsidR="008B2AFD" w:rsidRPr="00983EC8" w:rsidRDefault="00506F8F" w:rsidP="0007739F">
            <w:pPr>
              <w:pStyle w:val="af7"/>
            </w:pPr>
            <w:r w:rsidRPr="00983EC8">
              <w:t>-</w:t>
            </w:r>
            <w:r w:rsidR="008B2AFD" w:rsidRPr="00983EC8">
              <w:t>Высок</w:t>
            </w:r>
            <w:r w:rsidRPr="00983EC8">
              <w:t>ая платежеспособность населения</w:t>
            </w:r>
          </w:p>
          <w:p w14:paraId="534ED223" w14:textId="73A2FB5B" w:rsidR="008B2AFD" w:rsidRPr="00983EC8" w:rsidRDefault="00506F8F" w:rsidP="0007739F">
            <w:pPr>
              <w:pStyle w:val="af7"/>
            </w:pPr>
            <w:r w:rsidRPr="00983EC8">
              <w:t>-</w:t>
            </w:r>
            <w:r w:rsidR="008B2AFD" w:rsidRPr="00983EC8">
              <w:t>Предоставление мер поддержки СМСП финансового (налоговые льготы) и нефинансового субъектам (организация проведение ярморочных мероприятий) характера администрацией района</w:t>
            </w:r>
          </w:p>
        </w:tc>
        <w:tc>
          <w:tcPr>
            <w:tcW w:w="3640" w:type="dxa"/>
          </w:tcPr>
          <w:p w14:paraId="7674CDD6" w14:textId="3BCA1355" w:rsidR="008B2AFD" w:rsidRPr="00983EC8" w:rsidRDefault="00506F8F" w:rsidP="0007739F">
            <w:pPr>
              <w:pStyle w:val="af7"/>
            </w:pPr>
            <w:r w:rsidRPr="00983EC8">
              <w:t>-</w:t>
            </w:r>
            <w:r w:rsidR="008B2AFD" w:rsidRPr="00983EC8">
              <w:t>Сокращение располагаемых доходов населения (платёжеспособного спроса).</w:t>
            </w:r>
          </w:p>
          <w:p w14:paraId="7A097763" w14:textId="525472A1" w:rsidR="008B2AFD" w:rsidRPr="00983EC8" w:rsidRDefault="00506F8F" w:rsidP="0007739F">
            <w:pPr>
              <w:pStyle w:val="af7"/>
            </w:pPr>
            <w:r w:rsidRPr="00983EC8">
              <w:t>-</w:t>
            </w:r>
            <w:r w:rsidR="008B2AFD" w:rsidRPr="00983EC8">
              <w:t>Небольшая численность жителей сельских поселений</w:t>
            </w:r>
          </w:p>
          <w:p w14:paraId="5835F97D" w14:textId="5B7D5E99" w:rsidR="008B2AFD" w:rsidRPr="00983EC8" w:rsidRDefault="00506F8F" w:rsidP="0007739F">
            <w:pPr>
              <w:pStyle w:val="af7"/>
            </w:pPr>
            <w:r w:rsidRPr="00983EC8">
              <w:t>-</w:t>
            </w:r>
            <w:r w:rsidR="008B2AFD" w:rsidRPr="00983EC8">
              <w:t>Отсутствие в сельских поселениях района предприятий с современными форматами торговли, ограниченность асс</w:t>
            </w:r>
            <w:r w:rsidRPr="00983EC8">
              <w:t>ортимента в имеющихся магазинах</w:t>
            </w:r>
          </w:p>
          <w:p w14:paraId="29B1193D" w14:textId="66871AEF" w:rsidR="008B2AFD" w:rsidRPr="00983EC8" w:rsidRDefault="00506F8F" w:rsidP="0007739F">
            <w:pPr>
              <w:pStyle w:val="af7"/>
            </w:pPr>
            <w:r w:rsidRPr="00983EC8">
              <w:t>-</w:t>
            </w:r>
            <w:r w:rsidR="008B2AFD" w:rsidRPr="00983EC8">
              <w:t>Низкая обеспеченность населения торговыми объектами, высокая арендная плата торговых площадей</w:t>
            </w:r>
          </w:p>
          <w:p w14:paraId="0A21F10F" w14:textId="1C9A4CF5" w:rsidR="008B2AFD" w:rsidRPr="00983EC8" w:rsidRDefault="00506F8F" w:rsidP="0007739F">
            <w:pPr>
              <w:pStyle w:val="af7"/>
            </w:pPr>
            <w:r w:rsidRPr="00983EC8">
              <w:t>-</w:t>
            </w:r>
            <w:r w:rsidR="008B2AFD" w:rsidRPr="00983EC8">
              <w:t>Недостаточный ассортимент производимых в районе высококачественных потребительских товаров</w:t>
            </w:r>
            <w:r w:rsidRPr="00983EC8">
              <w:t>, в том числе продовольственных</w:t>
            </w:r>
          </w:p>
          <w:p w14:paraId="11E06DF3" w14:textId="71D8CA31" w:rsidR="008B2AFD" w:rsidRPr="00983EC8" w:rsidRDefault="00506F8F" w:rsidP="0007739F">
            <w:pPr>
              <w:pStyle w:val="af7"/>
            </w:pPr>
            <w:r w:rsidRPr="00983EC8">
              <w:t>-</w:t>
            </w:r>
            <w:r w:rsidR="008B2AFD" w:rsidRPr="00983EC8">
              <w:t>Отсутствие развитого оптового звена, что приводит к нерегулируемым высоким закупочным ценам, и, как результат, высокие розничные цены</w:t>
            </w:r>
          </w:p>
        </w:tc>
        <w:tc>
          <w:tcPr>
            <w:tcW w:w="3641" w:type="dxa"/>
          </w:tcPr>
          <w:p w14:paraId="7D031766" w14:textId="0A2FAF48" w:rsidR="008B2AFD" w:rsidRPr="00983EC8" w:rsidRDefault="00506F8F" w:rsidP="0007739F">
            <w:pPr>
              <w:pStyle w:val="af7"/>
            </w:pPr>
            <w:r w:rsidRPr="00983EC8">
              <w:t>-</w:t>
            </w:r>
            <w:r w:rsidR="008B2AFD" w:rsidRPr="00983EC8">
              <w:t>Развития максимального количес</w:t>
            </w:r>
            <w:r w:rsidRPr="00983EC8">
              <w:t>тва форматов розничной торговли</w:t>
            </w:r>
          </w:p>
          <w:p w14:paraId="7AA5AEBE" w14:textId="626414AD" w:rsidR="008B2AFD" w:rsidRPr="00983EC8" w:rsidRDefault="00506F8F" w:rsidP="0007739F">
            <w:pPr>
              <w:pStyle w:val="af7"/>
            </w:pPr>
            <w:r w:rsidRPr="00983EC8">
              <w:t>-</w:t>
            </w:r>
            <w:r w:rsidR="008B2AFD" w:rsidRPr="00983EC8">
              <w:t>Доведение обеспеченности населения района торговыми</w:t>
            </w:r>
            <w:r w:rsidRPr="00983EC8">
              <w:t xml:space="preserve"> площадями до плановых значений</w:t>
            </w:r>
          </w:p>
          <w:p w14:paraId="412DB79E" w14:textId="347A218A" w:rsidR="008B2AFD" w:rsidRPr="00983EC8" w:rsidRDefault="00506F8F" w:rsidP="0007739F">
            <w:pPr>
              <w:pStyle w:val="af7"/>
            </w:pPr>
            <w:r w:rsidRPr="00983EC8">
              <w:t>-</w:t>
            </w:r>
            <w:r w:rsidR="008B2AFD" w:rsidRPr="00983EC8">
              <w:t xml:space="preserve">Развитие на территории района торговых сетей, </w:t>
            </w:r>
            <w:r w:rsidRPr="00983EC8">
              <w:t>магазинов «шаговой доступности»</w:t>
            </w:r>
          </w:p>
          <w:p w14:paraId="11EA0756" w14:textId="4C658C2A" w:rsidR="008B2AFD" w:rsidRPr="00983EC8" w:rsidRDefault="00506F8F" w:rsidP="0007739F">
            <w:pPr>
              <w:pStyle w:val="af7"/>
            </w:pPr>
            <w:r w:rsidRPr="00983EC8">
              <w:t>-</w:t>
            </w:r>
            <w:r w:rsidR="008B2AFD" w:rsidRPr="00983EC8">
              <w:t>Дальнейшее развитие ярмарок «шаговой доступности» в целях содействия в продвижении на потребительский рынок</w:t>
            </w:r>
            <w:r w:rsidRPr="00983EC8">
              <w:t xml:space="preserve"> товаров местных производителей</w:t>
            </w:r>
          </w:p>
          <w:p w14:paraId="5A282709" w14:textId="6EBF09B6" w:rsidR="008B2AFD" w:rsidRPr="00983EC8" w:rsidRDefault="00506F8F" w:rsidP="0007739F">
            <w:pPr>
              <w:pStyle w:val="af7"/>
            </w:pPr>
            <w:r w:rsidRPr="00983EC8">
              <w:t>-</w:t>
            </w:r>
            <w:r w:rsidR="008B2AFD" w:rsidRPr="00983EC8">
              <w:t>Развитие туристической отрасли для увеличения занятости, повышения уровня благосостояния населения района, увеличению объемов реализации торговых и бытовых услуг</w:t>
            </w:r>
          </w:p>
          <w:p w14:paraId="69E6B69A" w14:textId="31E47EE2" w:rsidR="008B2AFD" w:rsidRPr="00983EC8" w:rsidRDefault="00506F8F" w:rsidP="0007739F">
            <w:pPr>
              <w:pStyle w:val="af7"/>
            </w:pPr>
            <w:r w:rsidRPr="00983EC8">
              <w:t>-</w:t>
            </w:r>
            <w:r w:rsidR="008B2AFD" w:rsidRPr="00983EC8">
              <w:t>Возможность для развития удаленной или мобильной торговли</w:t>
            </w:r>
          </w:p>
        </w:tc>
        <w:tc>
          <w:tcPr>
            <w:tcW w:w="3641" w:type="dxa"/>
          </w:tcPr>
          <w:p w14:paraId="160B3C95" w14:textId="7C4E9CD1" w:rsidR="008B2AFD" w:rsidRPr="00983EC8" w:rsidRDefault="00506F8F" w:rsidP="0007739F">
            <w:pPr>
              <w:pStyle w:val="af7"/>
            </w:pPr>
            <w:r w:rsidRPr="00983EC8">
              <w:t>-</w:t>
            </w:r>
            <w:r w:rsidR="008B2AFD" w:rsidRPr="00983EC8">
              <w:t xml:space="preserve">Сокращение потребительского спроса вследствие падения </w:t>
            </w:r>
            <w:r w:rsidRPr="00983EC8">
              <w:t>располагаемых доходов населения</w:t>
            </w:r>
          </w:p>
          <w:p w14:paraId="52F81C0B" w14:textId="0F424FB8" w:rsidR="00D97826" w:rsidRPr="00983EC8" w:rsidRDefault="00506F8F" w:rsidP="0007739F">
            <w:pPr>
              <w:pStyle w:val="af7"/>
            </w:pPr>
            <w:r w:rsidRPr="00983EC8">
              <w:t>-</w:t>
            </w:r>
            <w:r w:rsidR="008B2AFD" w:rsidRPr="00983EC8">
              <w:t>Рост цен на потребительские товары</w:t>
            </w:r>
          </w:p>
        </w:tc>
      </w:tr>
      <w:tr w:rsidR="0012123E" w:rsidRPr="00983EC8" w14:paraId="772178B8" w14:textId="77777777" w:rsidTr="004B4DED">
        <w:trPr>
          <w:trHeight w:val="371"/>
        </w:trPr>
        <w:tc>
          <w:tcPr>
            <w:tcW w:w="14562" w:type="dxa"/>
            <w:gridSpan w:val="4"/>
            <w:vAlign w:val="center"/>
          </w:tcPr>
          <w:p w14:paraId="1006FCEB" w14:textId="03DBCCCF" w:rsidR="0012123E" w:rsidRPr="0007739F" w:rsidRDefault="0012123E" w:rsidP="0007739F">
            <w:pPr>
              <w:pStyle w:val="af7"/>
              <w:jc w:val="center"/>
              <w:rPr>
                <w:b/>
                <w:sz w:val="24"/>
              </w:rPr>
            </w:pPr>
            <w:r w:rsidRPr="0007739F">
              <w:rPr>
                <w:b/>
                <w:sz w:val="24"/>
              </w:rPr>
              <w:t>Демография и миграция</w:t>
            </w:r>
          </w:p>
        </w:tc>
      </w:tr>
      <w:tr w:rsidR="0012123E" w:rsidRPr="00983EC8" w14:paraId="129FD972" w14:textId="77777777" w:rsidTr="00C54B11">
        <w:trPr>
          <w:trHeight w:val="1444"/>
        </w:trPr>
        <w:tc>
          <w:tcPr>
            <w:tcW w:w="3640" w:type="dxa"/>
          </w:tcPr>
          <w:p w14:paraId="5A411774" w14:textId="49DE9006" w:rsidR="0012123E" w:rsidRPr="00983EC8" w:rsidRDefault="00E9027D" w:rsidP="0007739F">
            <w:pPr>
              <w:pStyle w:val="af7"/>
            </w:pPr>
            <w:r w:rsidRPr="00983EC8">
              <w:lastRenderedPageBreak/>
              <w:t>-</w:t>
            </w:r>
            <w:r w:rsidR="0012123E" w:rsidRPr="00983EC8">
              <w:t>Положительная тенденция увеличения среднегодовой численности постоянного населения</w:t>
            </w:r>
          </w:p>
          <w:p w14:paraId="306530C4" w14:textId="7A4824FF" w:rsidR="00B045B4" w:rsidRPr="00983EC8" w:rsidRDefault="00E9027D" w:rsidP="0007739F">
            <w:pPr>
              <w:pStyle w:val="af7"/>
            </w:pPr>
            <w:r w:rsidRPr="00983EC8">
              <w:t>-</w:t>
            </w:r>
            <w:r w:rsidR="00B045B4" w:rsidRPr="00983EC8">
              <w:t>Миграционный приток населения в трудоспособном возрасте и омоложение населения</w:t>
            </w:r>
          </w:p>
        </w:tc>
        <w:tc>
          <w:tcPr>
            <w:tcW w:w="3640" w:type="dxa"/>
          </w:tcPr>
          <w:p w14:paraId="61636A4D" w14:textId="6713EF9A" w:rsidR="0012123E" w:rsidRPr="00983EC8" w:rsidRDefault="00E9027D" w:rsidP="0007739F">
            <w:pPr>
              <w:pStyle w:val="af7"/>
            </w:pPr>
            <w:r w:rsidRPr="00983EC8">
              <w:t>-</w:t>
            </w:r>
            <w:r w:rsidR="00D97826">
              <w:t>Недостаточно развитая сфера бытовых услуг населению</w:t>
            </w:r>
          </w:p>
          <w:p w14:paraId="350C8EAB" w14:textId="77777777" w:rsidR="0012123E" w:rsidRPr="00983EC8" w:rsidRDefault="0012123E" w:rsidP="0007739F">
            <w:pPr>
              <w:pStyle w:val="af7"/>
            </w:pPr>
          </w:p>
        </w:tc>
        <w:tc>
          <w:tcPr>
            <w:tcW w:w="3641" w:type="dxa"/>
          </w:tcPr>
          <w:p w14:paraId="3DCA0A31" w14:textId="0B33C8E2" w:rsidR="0012123E" w:rsidRPr="00983EC8" w:rsidRDefault="00E9027D" w:rsidP="0007739F">
            <w:pPr>
              <w:pStyle w:val="af7"/>
            </w:pPr>
            <w:r w:rsidRPr="00983EC8">
              <w:t>-</w:t>
            </w:r>
            <w:r w:rsidR="0012123E" w:rsidRPr="00983EC8">
              <w:t>Обеспечение активной деятельности всех возрастов населения</w:t>
            </w:r>
          </w:p>
        </w:tc>
        <w:tc>
          <w:tcPr>
            <w:tcW w:w="3641" w:type="dxa"/>
          </w:tcPr>
          <w:p w14:paraId="3ADB77C3" w14:textId="5CAE43D7" w:rsidR="00200896" w:rsidRPr="00983EC8" w:rsidRDefault="00E9027D" w:rsidP="0007739F">
            <w:pPr>
              <w:pStyle w:val="af7"/>
            </w:pPr>
            <w:r w:rsidRPr="00983EC8">
              <w:t>-</w:t>
            </w:r>
            <w:r w:rsidR="00200896" w:rsidRPr="00983EC8">
              <w:t>Негативные демографические тренды, связанные с ростом числа пенсионеров в структуре населения и снижением рождаемости</w:t>
            </w:r>
          </w:p>
          <w:p w14:paraId="0AF5CC00" w14:textId="246D82B9" w:rsidR="0012123E" w:rsidRPr="00983EC8" w:rsidRDefault="00E9027D" w:rsidP="0007739F">
            <w:pPr>
              <w:pStyle w:val="af7"/>
            </w:pPr>
            <w:r w:rsidRPr="00983EC8">
              <w:t>-</w:t>
            </w:r>
            <w:r w:rsidR="0012123E" w:rsidRPr="00983EC8">
              <w:t>Отток квалифицированных кадров</w:t>
            </w:r>
            <w:r w:rsidR="00B4613D" w:rsidRPr="00983EC8">
              <w:t xml:space="preserve"> населения в возрасте старше трудоспособного в крупные региональные центры</w:t>
            </w:r>
          </w:p>
        </w:tc>
      </w:tr>
      <w:tr w:rsidR="008B2AFD" w:rsidRPr="00983EC8" w14:paraId="7C253483" w14:textId="77777777" w:rsidTr="003F26D7">
        <w:trPr>
          <w:trHeight w:val="371"/>
        </w:trPr>
        <w:tc>
          <w:tcPr>
            <w:tcW w:w="14562" w:type="dxa"/>
            <w:gridSpan w:val="4"/>
          </w:tcPr>
          <w:p w14:paraId="03695D19" w14:textId="0EB8C7F8" w:rsidR="008B2AFD" w:rsidRPr="0007739F" w:rsidRDefault="008B2AFD" w:rsidP="0007739F">
            <w:pPr>
              <w:pStyle w:val="af7"/>
              <w:jc w:val="center"/>
              <w:rPr>
                <w:b/>
                <w:sz w:val="24"/>
              </w:rPr>
            </w:pPr>
            <w:r w:rsidRPr="0007739F">
              <w:rPr>
                <w:b/>
                <w:sz w:val="24"/>
              </w:rPr>
              <w:t>Занятость и уровень жизни</w:t>
            </w:r>
          </w:p>
        </w:tc>
      </w:tr>
      <w:tr w:rsidR="008B2AFD" w:rsidRPr="00983EC8" w14:paraId="54FA142E" w14:textId="77777777" w:rsidTr="00F5223B">
        <w:trPr>
          <w:trHeight w:val="371"/>
        </w:trPr>
        <w:tc>
          <w:tcPr>
            <w:tcW w:w="3640" w:type="dxa"/>
          </w:tcPr>
          <w:p w14:paraId="265B373D" w14:textId="13FF35E7" w:rsidR="008B2AFD" w:rsidRPr="00983EC8" w:rsidRDefault="00B64B96" w:rsidP="0007739F">
            <w:pPr>
              <w:pStyle w:val="af7"/>
            </w:pPr>
            <w:r w:rsidRPr="00983EC8">
              <w:t>-</w:t>
            </w:r>
            <w:r w:rsidR="008B2AFD" w:rsidRPr="00983EC8">
              <w:t>Наличие высокой доли экономически активного населения (более 90</w:t>
            </w:r>
            <w:r w:rsidRPr="00983EC8">
              <w:t> % от трудоспособного возраста)</w:t>
            </w:r>
          </w:p>
          <w:p w14:paraId="58368B42" w14:textId="40C39325" w:rsidR="008B2AFD" w:rsidRPr="00983EC8" w:rsidRDefault="00B64B96" w:rsidP="0007739F">
            <w:pPr>
              <w:pStyle w:val="af7"/>
            </w:pPr>
            <w:r w:rsidRPr="00983EC8">
              <w:t>-</w:t>
            </w:r>
            <w:r w:rsidR="008B2AFD" w:rsidRPr="00983EC8">
              <w:t>Высокий уровень оплаты труда работающих добыче полезных ископаемых, транспортировке полезных ископаемых, обрабатывающих производствах</w:t>
            </w:r>
          </w:p>
        </w:tc>
        <w:tc>
          <w:tcPr>
            <w:tcW w:w="3640" w:type="dxa"/>
          </w:tcPr>
          <w:p w14:paraId="2B1F5F5F" w14:textId="42BC1AB3" w:rsidR="00A54DEC" w:rsidRPr="00983EC8" w:rsidRDefault="00B64B96" w:rsidP="0007739F">
            <w:pPr>
              <w:pStyle w:val="af7"/>
            </w:pPr>
            <w:r w:rsidRPr="00983EC8">
              <w:t>-</w:t>
            </w:r>
            <w:r w:rsidR="00A54DEC" w:rsidRPr="00983EC8">
              <w:t>Пространственная дифференциация уровня жизни</w:t>
            </w:r>
          </w:p>
          <w:p w14:paraId="32425A55" w14:textId="29F0BD12" w:rsidR="008B2AFD" w:rsidRPr="00983EC8" w:rsidRDefault="00B64B96" w:rsidP="0007739F">
            <w:pPr>
              <w:pStyle w:val="af7"/>
            </w:pPr>
            <w:r w:rsidRPr="00983EC8">
              <w:t>-</w:t>
            </w:r>
            <w:r w:rsidR="008B2AFD" w:rsidRPr="00983EC8">
              <w:t>Высокая концентрация трудовых ресурсов на предприятиях в добывающей отрасли и на предприятиях других отраслей (машиностроение, транспорт) связанных (обслуживающих) добывающие предприятия, зависимых от внешнеэкономической конъюнктуры</w:t>
            </w:r>
          </w:p>
          <w:p w14:paraId="36902E7E" w14:textId="6A982199" w:rsidR="008B2AFD" w:rsidRPr="00983EC8" w:rsidRDefault="00B64B96" w:rsidP="0007739F">
            <w:pPr>
              <w:pStyle w:val="af7"/>
            </w:pPr>
            <w:r w:rsidRPr="00983EC8">
              <w:t>-</w:t>
            </w:r>
            <w:r w:rsidR="008B2AFD" w:rsidRPr="00983EC8">
              <w:t>Высокий уровень отраслевой дифференциации среднемесячной заработной плата работников организаций – заработная плата работников добывающей отрасли существенно выше</w:t>
            </w:r>
            <w:r w:rsidRPr="00983EC8">
              <w:t xml:space="preserve"> оплаты труда в других отраслях</w:t>
            </w:r>
          </w:p>
          <w:p w14:paraId="545479C7" w14:textId="3F26E5A7" w:rsidR="008B2AFD" w:rsidRPr="00983EC8" w:rsidRDefault="00B64B96" w:rsidP="0007739F">
            <w:pPr>
              <w:pStyle w:val="af7"/>
            </w:pPr>
            <w:r w:rsidRPr="00983EC8">
              <w:t>-</w:t>
            </w:r>
            <w:r w:rsidR="008B2AFD" w:rsidRPr="00983EC8">
              <w:t>Относительно низкий уровень оплаты труда в роз</w:t>
            </w:r>
            <w:r w:rsidRPr="00983EC8">
              <w:t>ничной торговле, оказании услуг</w:t>
            </w:r>
          </w:p>
          <w:p w14:paraId="3F895A90" w14:textId="0CE73989" w:rsidR="008B2AFD" w:rsidRPr="00983EC8" w:rsidRDefault="00B64B96" w:rsidP="0007739F">
            <w:pPr>
              <w:pStyle w:val="af7"/>
            </w:pPr>
            <w:r w:rsidRPr="00983EC8">
              <w:t>-</w:t>
            </w:r>
            <w:r w:rsidR="008B2AFD" w:rsidRPr="00983EC8">
              <w:t>Основным драйвером роста доходов населения являются социальные выплаты, а не оплата труд</w:t>
            </w:r>
            <w:r w:rsidR="007521F3" w:rsidRPr="00983EC8">
              <w:t>а</w:t>
            </w:r>
          </w:p>
        </w:tc>
        <w:tc>
          <w:tcPr>
            <w:tcW w:w="3641" w:type="dxa"/>
          </w:tcPr>
          <w:p w14:paraId="13641C42" w14:textId="52451BFF" w:rsidR="008B2AFD" w:rsidRPr="00983EC8" w:rsidRDefault="00B64B96" w:rsidP="0007739F">
            <w:pPr>
              <w:pStyle w:val="af7"/>
            </w:pPr>
            <w:r w:rsidRPr="00983EC8">
              <w:t>-</w:t>
            </w:r>
            <w:r w:rsidR="008B2AFD" w:rsidRPr="00983EC8">
              <w:t>Развитие малого и среднего предпринимательства в отраслях промышленности, не связанных с добычей полезных ископаемых, увеличение самозанятости населения</w:t>
            </w:r>
            <w:r w:rsidR="00531C5A" w:rsidRPr="00983EC8">
              <w:t xml:space="preserve"> в несырьевом секторе</w:t>
            </w:r>
          </w:p>
        </w:tc>
        <w:tc>
          <w:tcPr>
            <w:tcW w:w="3641" w:type="dxa"/>
          </w:tcPr>
          <w:p w14:paraId="31406D3A" w14:textId="40713942" w:rsidR="008B2AFD" w:rsidRPr="00983EC8" w:rsidRDefault="00B64B96" w:rsidP="0007739F">
            <w:pPr>
              <w:pStyle w:val="af7"/>
            </w:pPr>
            <w:r w:rsidRPr="00983EC8">
              <w:t>-</w:t>
            </w:r>
            <w:r w:rsidR="008B2AFD" w:rsidRPr="00983EC8">
              <w:t>Спад производства, сокращение оплаты труда, сокращения числа с</w:t>
            </w:r>
            <w:r w:rsidRPr="00983EC8">
              <w:t>отрудников в добывающей отрасли</w:t>
            </w:r>
          </w:p>
          <w:p w14:paraId="0FAB1B25" w14:textId="09944C4F" w:rsidR="00531C5A" w:rsidRPr="00983EC8" w:rsidRDefault="00B64B96" w:rsidP="0007739F">
            <w:pPr>
              <w:pStyle w:val="af7"/>
            </w:pPr>
            <w:r w:rsidRPr="00983EC8">
              <w:t>-</w:t>
            </w:r>
            <w:r w:rsidR="00531C5A" w:rsidRPr="00983EC8">
              <w:t xml:space="preserve">Сокращение реально </w:t>
            </w:r>
            <w:r w:rsidRPr="00983EC8">
              <w:t>располагаемых доходов населения</w:t>
            </w:r>
          </w:p>
          <w:p w14:paraId="029CD092" w14:textId="194022E1" w:rsidR="00531C5A" w:rsidRPr="00983EC8" w:rsidRDefault="00B64B96" w:rsidP="0007739F">
            <w:pPr>
              <w:pStyle w:val="af7"/>
            </w:pPr>
            <w:r w:rsidRPr="00983EC8">
              <w:t>-</w:t>
            </w:r>
            <w:r w:rsidR="00531C5A" w:rsidRPr="00983EC8">
              <w:t>Увеличение доли население с доходами ниже прожиточного минимума</w:t>
            </w:r>
          </w:p>
        </w:tc>
      </w:tr>
      <w:tr w:rsidR="00610187" w:rsidRPr="00983EC8" w14:paraId="08893017" w14:textId="77777777" w:rsidTr="003F26D7">
        <w:trPr>
          <w:trHeight w:val="371"/>
        </w:trPr>
        <w:tc>
          <w:tcPr>
            <w:tcW w:w="14562" w:type="dxa"/>
            <w:gridSpan w:val="4"/>
          </w:tcPr>
          <w:p w14:paraId="651C44D3" w14:textId="2A4027D7" w:rsidR="00610187" w:rsidRPr="0007739F" w:rsidRDefault="00610187" w:rsidP="0007739F">
            <w:pPr>
              <w:pStyle w:val="af7"/>
              <w:jc w:val="center"/>
              <w:rPr>
                <w:b/>
                <w:sz w:val="24"/>
              </w:rPr>
            </w:pPr>
            <w:r w:rsidRPr="0007739F">
              <w:rPr>
                <w:b/>
                <w:sz w:val="24"/>
              </w:rPr>
              <w:t>Социальная сфера</w:t>
            </w:r>
          </w:p>
        </w:tc>
      </w:tr>
      <w:tr w:rsidR="00610187" w:rsidRPr="00983EC8" w14:paraId="2CE2B8C2" w14:textId="77777777" w:rsidTr="003F26D7">
        <w:trPr>
          <w:trHeight w:val="371"/>
        </w:trPr>
        <w:tc>
          <w:tcPr>
            <w:tcW w:w="14562" w:type="dxa"/>
            <w:gridSpan w:val="4"/>
            <w:vAlign w:val="center"/>
          </w:tcPr>
          <w:p w14:paraId="2EC3E987" w14:textId="18BCD572" w:rsidR="00610187" w:rsidRPr="0007739F" w:rsidRDefault="00610187" w:rsidP="0007739F">
            <w:pPr>
              <w:pStyle w:val="af7"/>
              <w:jc w:val="center"/>
              <w:rPr>
                <w:i/>
              </w:rPr>
            </w:pPr>
            <w:r w:rsidRPr="0007739F">
              <w:rPr>
                <w:i/>
              </w:rPr>
              <w:t>Образование</w:t>
            </w:r>
          </w:p>
        </w:tc>
      </w:tr>
      <w:tr w:rsidR="00610187" w:rsidRPr="00983EC8" w14:paraId="58D29D19" w14:textId="77777777" w:rsidTr="00F5223B">
        <w:trPr>
          <w:trHeight w:val="371"/>
        </w:trPr>
        <w:tc>
          <w:tcPr>
            <w:tcW w:w="3640" w:type="dxa"/>
          </w:tcPr>
          <w:p w14:paraId="65052B9B" w14:textId="031C029F" w:rsidR="00610187" w:rsidRPr="00983EC8" w:rsidRDefault="005503A0" w:rsidP="0007739F">
            <w:pPr>
              <w:pStyle w:val="af7"/>
            </w:pPr>
            <w:r w:rsidRPr="00983EC8">
              <w:lastRenderedPageBreak/>
              <w:t>-</w:t>
            </w:r>
            <w:r w:rsidR="00610187" w:rsidRPr="00983EC8">
              <w:t>Увеличение численности детей, посещающ</w:t>
            </w:r>
            <w:r w:rsidRPr="00983EC8">
              <w:t>их дошкольные учреждения района и сокращение очередей в дошкольные учреждения</w:t>
            </w:r>
          </w:p>
          <w:p w14:paraId="0BA84B50" w14:textId="482C1DA5" w:rsidR="00610187" w:rsidRPr="00983EC8" w:rsidRDefault="005503A0" w:rsidP="0007739F">
            <w:pPr>
              <w:pStyle w:val="af7"/>
            </w:pPr>
            <w:r w:rsidRPr="00983EC8">
              <w:t>-</w:t>
            </w:r>
            <w:r w:rsidR="00610187" w:rsidRPr="00983EC8">
              <w:t>Высокий уровень образования педагогических работников дошкольного об</w:t>
            </w:r>
            <w:r w:rsidRPr="00983EC8">
              <w:t>разования</w:t>
            </w:r>
          </w:p>
          <w:p w14:paraId="525DF35C" w14:textId="6B118376" w:rsidR="00610187" w:rsidRPr="00983EC8" w:rsidRDefault="005503A0" w:rsidP="0007739F">
            <w:pPr>
              <w:pStyle w:val="af7"/>
            </w:pPr>
            <w:r w:rsidRPr="00983EC8">
              <w:t>-</w:t>
            </w:r>
            <w:r w:rsidR="00610187" w:rsidRPr="00983EC8">
              <w:t>Оснащенность имеющихся дошкол</w:t>
            </w:r>
            <w:r w:rsidRPr="00983EC8">
              <w:t>ьных образовательных учреждений</w:t>
            </w:r>
          </w:p>
          <w:p w14:paraId="3D6B9AA6" w14:textId="7554E0A3" w:rsidR="00610187" w:rsidRPr="00983EC8" w:rsidRDefault="005503A0" w:rsidP="0007739F">
            <w:pPr>
              <w:pStyle w:val="af7"/>
            </w:pPr>
            <w:r w:rsidRPr="00983EC8">
              <w:t xml:space="preserve">-Доступность общего </w:t>
            </w:r>
            <w:r w:rsidR="00610187" w:rsidRPr="00983EC8">
              <w:t>образования независимо от места ж</w:t>
            </w:r>
            <w:r w:rsidRPr="00983EC8">
              <w:t>ительства и состояния здоровья</w:t>
            </w:r>
          </w:p>
          <w:p w14:paraId="6418B3A2" w14:textId="16A7188E" w:rsidR="00610187" w:rsidRPr="00983EC8" w:rsidRDefault="005503A0" w:rsidP="0007739F">
            <w:pPr>
              <w:pStyle w:val="af7"/>
            </w:pPr>
            <w:r w:rsidRPr="00983EC8">
              <w:t>-</w:t>
            </w:r>
            <w:r w:rsidR="00610187" w:rsidRPr="00983EC8">
              <w:t>Высокая обеспеченность компьютерной техникой обр</w:t>
            </w:r>
            <w:r w:rsidRPr="00983EC8">
              <w:t>азовательных учреждений района (доступ к сети Интернет)</w:t>
            </w:r>
          </w:p>
          <w:p w14:paraId="606763FD" w14:textId="151045E8" w:rsidR="00610187" w:rsidRPr="00983EC8" w:rsidRDefault="005503A0" w:rsidP="0007739F">
            <w:pPr>
              <w:pStyle w:val="af7"/>
            </w:pPr>
            <w:r w:rsidRPr="00983EC8">
              <w:t>-</w:t>
            </w:r>
            <w:r w:rsidR="00610187" w:rsidRPr="00983EC8">
              <w:t>Ежегодная организация повышени</w:t>
            </w:r>
            <w:r w:rsidRPr="00983EC8">
              <w:t>я квалификации педагогов района</w:t>
            </w:r>
          </w:p>
          <w:p w14:paraId="676217A2" w14:textId="47E78CF3" w:rsidR="00610187" w:rsidRPr="00983EC8" w:rsidRDefault="006A6378" w:rsidP="0007739F">
            <w:pPr>
              <w:pStyle w:val="af7"/>
            </w:pPr>
            <w:r w:rsidRPr="00983EC8">
              <w:t>-</w:t>
            </w:r>
            <w:r w:rsidR="00610187" w:rsidRPr="00983EC8">
              <w:t>В</w:t>
            </w:r>
            <w:r w:rsidR="005503A0" w:rsidRPr="00983EC8">
              <w:t>ысокая доля</w:t>
            </w:r>
            <w:r w:rsidR="00610187" w:rsidRPr="00983EC8">
              <w:t xml:space="preserve"> </w:t>
            </w:r>
            <w:r w:rsidR="005503A0" w:rsidRPr="00983EC8">
              <w:t xml:space="preserve">аттестованных педагогических и руководящих работников в </w:t>
            </w:r>
            <w:r w:rsidR="00610187" w:rsidRPr="00983EC8">
              <w:t xml:space="preserve">системе общего образования </w:t>
            </w:r>
            <w:r w:rsidR="005503A0" w:rsidRPr="00983EC8">
              <w:t>(86</w:t>
            </w:r>
            <w:r w:rsidR="00610187" w:rsidRPr="00983EC8">
              <w:t>%</w:t>
            </w:r>
            <w:r w:rsidR="005503A0" w:rsidRPr="00983EC8">
              <w:t>)</w:t>
            </w:r>
          </w:p>
        </w:tc>
        <w:tc>
          <w:tcPr>
            <w:tcW w:w="3640" w:type="dxa"/>
          </w:tcPr>
          <w:p w14:paraId="6BAFDCCD" w14:textId="608B371D" w:rsidR="00610187" w:rsidRPr="00983EC8" w:rsidRDefault="004F6652" w:rsidP="0007739F">
            <w:pPr>
              <w:pStyle w:val="af7"/>
            </w:pPr>
            <w:r w:rsidRPr="00983EC8">
              <w:t>-Наличие очередей в дошкольные учреждения</w:t>
            </w:r>
          </w:p>
          <w:p w14:paraId="54B6A1FA" w14:textId="49B5D79C" w:rsidR="00610187" w:rsidRPr="00983EC8" w:rsidRDefault="004F6652" w:rsidP="0007739F">
            <w:pPr>
              <w:pStyle w:val="af7"/>
            </w:pPr>
            <w:r w:rsidRPr="00983EC8">
              <w:t>-</w:t>
            </w:r>
            <w:r w:rsidR="00610187" w:rsidRPr="00983EC8">
              <w:t xml:space="preserve">Превышение нормативной наполняемости </w:t>
            </w:r>
            <w:r w:rsidRPr="00983EC8">
              <w:t>групп дошкольного образования</w:t>
            </w:r>
          </w:p>
          <w:p w14:paraId="7D70D73F" w14:textId="2D291E68" w:rsidR="00610187" w:rsidRPr="00983EC8" w:rsidRDefault="004F6652" w:rsidP="0007739F">
            <w:pPr>
              <w:pStyle w:val="af7"/>
            </w:pPr>
            <w:r w:rsidRPr="00983EC8">
              <w:t>-</w:t>
            </w:r>
            <w:r w:rsidR="00610187" w:rsidRPr="00983EC8">
              <w:t>Недостаточная индивидуализация процесса обучения и о</w:t>
            </w:r>
            <w:r w:rsidRPr="00983EC8">
              <w:t>рганизация профильного обучения</w:t>
            </w:r>
          </w:p>
          <w:p w14:paraId="7C87BDB7" w14:textId="187F3858" w:rsidR="00610187" w:rsidRPr="00983EC8" w:rsidRDefault="004F6652" w:rsidP="0007739F">
            <w:pPr>
              <w:pStyle w:val="af7"/>
            </w:pPr>
            <w:r w:rsidRPr="00983EC8">
              <w:t xml:space="preserve">-Недостаточное использование </w:t>
            </w:r>
            <w:r w:rsidR="00610187" w:rsidRPr="00983EC8">
              <w:t>информационно-коммуникационных технологий в образовательном процессе, включая возможно</w:t>
            </w:r>
            <w:r w:rsidRPr="00983EC8">
              <w:t>сти дистанционного образования</w:t>
            </w:r>
          </w:p>
          <w:p w14:paraId="39318D13" w14:textId="341810BF" w:rsidR="00610187" w:rsidRPr="00983EC8" w:rsidRDefault="004F6652" w:rsidP="0007739F">
            <w:pPr>
              <w:pStyle w:val="af7"/>
            </w:pPr>
            <w:r w:rsidRPr="00983EC8">
              <w:t>-</w:t>
            </w:r>
            <w:r w:rsidR="00610187" w:rsidRPr="00983EC8">
              <w:t>Недостаточно развитое инклюзивное образование для детей с ограниченными возможностями</w:t>
            </w:r>
          </w:p>
        </w:tc>
        <w:tc>
          <w:tcPr>
            <w:tcW w:w="3641" w:type="dxa"/>
          </w:tcPr>
          <w:p w14:paraId="613E89A4" w14:textId="77777777" w:rsidR="00C36B7E" w:rsidRPr="00983EC8" w:rsidRDefault="00C36B7E" w:rsidP="0007739F">
            <w:pPr>
              <w:pStyle w:val="af7"/>
            </w:pPr>
            <w:r w:rsidRPr="00983EC8">
              <w:t>-</w:t>
            </w:r>
            <w:r w:rsidR="00610187" w:rsidRPr="00983EC8">
              <w:t>Строительство новых зданий дошкольных образовательных учреждений при совместном участии соответствующих Департаментов Ханты-Мансийского автономного округа – Югры и органов местного самоуправления Нефтеюганского района, а также с пр</w:t>
            </w:r>
            <w:r w:rsidRPr="00983EC8">
              <w:t>ивлечением внебюджетных средств</w:t>
            </w:r>
          </w:p>
          <w:p w14:paraId="2FB3D4BB" w14:textId="5B202318" w:rsidR="00610187" w:rsidRPr="00983EC8" w:rsidRDefault="00C36B7E" w:rsidP="0007739F">
            <w:pPr>
              <w:pStyle w:val="af7"/>
            </w:pPr>
            <w:r w:rsidRPr="00983EC8">
              <w:t>-Раз</w:t>
            </w:r>
            <w:r w:rsidR="00610187" w:rsidRPr="00983EC8">
              <w:t>витие системы выявлен</w:t>
            </w:r>
            <w:r w:rsidRPr="00983EC8">
              <w:t>ия и поддержки одаренных детей</w:t>
            </w:r>
          </w:p>
          <w:p w14:paraId="20F4CA4D" w14:textId="611644A8" w:rsidR="00610187" w:rsidRPr="00983EC8" w:rsidRDefault="00C36B7E" w:rsidP="0007739F">
            <w:pPr>
              <w:pStyle w:val="af7"/>
            </w:pPr>
            <w:r w:rsidRPr="00983EC8">
              <w:t>-</w:t>
            </w:r>
            <w:r w:rsidR="00610187" w:rsidRPr="00983EC8">
              <w:t>А</w:t>
            </w:r>
            <w:r w:rsidRPr="00983EC8">
              <w:t>дресное повышение квалификации педагогов района</w:t>
            </w:r>
          </w:p>
          <w:p w14:paraId="6A01A092" w14:textId="0768E275" w:rsidR="00610187" w:rsidRPr="00983EC8" w:rsidRDefault="00C36B7E" w:rsidP="0007739F">
            <w:pPr>
              <w:pStyle w:val="af7"/>
            </w:pPr>
            <w:r w:rsidRPr="00983EC8">
              <w:t>-</w:t>
            </w:r>
            <w:r w:rsidR="00610187" w:rsidRPr="00983EC8">
              <w:t xml:space="preserve">Развитие материально-технической базы учреждений в рамках реализации </w:t>
            </w:r>
            <w:r w:rsidR="00610187" w:rsidRPr="00983EC8">
              <w:rPr>
                <w:shd w:val="clear" w:color="auto" w:fill="FFFFFF"/>
              </w:rPr>
              <w:t>федеральных государственных образовательных стандартов</w:t>
            </w:r>
          </w:p>
          <w:p w14:paraId="6EA84F46" w14:textId="18F04FF5" w:rsidR="005503A0" w:rsidRPr="00983EC8" w:rsidRDefault="00C36B7E" w:rsidP="0007739F">
            <w:pPr>
              <w:pStyle w:val="af7"/>
            </w:pPr>
            <w:r w:rsidRPr="00983EC8">
              <w:t>-</w:t>
            </w:r>
            <w:r w:rsidR="005503A0" w:rsidRPr="00983EC8">
              <w:t>Организация платных дополнительн</w:t>
            </w:r>
            <w:r w:rsidRPr="00983EC8">
              <w:t>ых услуг в детских садах района</w:t>
            </w:r>
          </w:p>
          <w:p w14:paraId="6E3E7F58" w14:textId="77777777" w:rsidR="005503A0" w:rsidRPr="00983EC8" w:rsidRDefault="005503A0" w:rsidP="0007739F">
            <w:pPr>
              <w:pStyle w:val="af7"/>
            </w:pPr>
          </w:p>
          <w:p w14:paraId="3CFDE8F8" w14:textId="77777777" w:rsidR="00610187" w:rsidRPr="00983EC8" w:rsidRDefault="00610187" w:rsidP="0007739F">
            <w:pPr>
              <w:pStyle w:val="af7"/>
            </w:pPr>
          </w:p>
        </w:tc>
        <w:tc>
          <w:tcPr>
            <w:tcW w:w="3641" w:type="dxa"/>
          </w:tcPr>
          <w:p w14:paraId="5B79EE82" w14:textId="5C0F26E9" w:rsidR="00610187" w:rsidRPr="00983EC8" w:rsidRDefault="00B56272" w:rsidP="0007739F">
            <w:pPr>
              <w:pStyle w:val="af7"/>
            </w:pPr>
            <w:r w:rsidRPr="00983EC8">
              <w:t>-</w:t>
            </w:r>
            <w:r w:rsidR="00610187" w:rsidRPr="00983EC8">
              <w:t>Отсутствие кадрово</w:t>
            </w:r>
            <w:r w:rsidRPr="00983EC8">
              <w:t>го резерва молодых специалистов</w:t>
            </w:r>
          </w:p>
          <w:p w14:paraId="73DF4E7A" w14:textId="31ADCA02" w:rsidR="00AF2080" w:rsidRPr="00983EC8" w:rsidRDefault="00B56272" w:rsidP="0007739F">
            <w:pPr>
              <w:pStyle w:val="af7"/>
            </w:pPr>
            <w:r w:rsidRPr="00983EC8">
              <w:t>-</w:t>
            </w:r>
            <w:r w:rsidR="00610187" w:rsidRPr="00983EC8">
              <w:t>Отсутствие квалифицированных, мотивированных специалистов в сельской местности</w:t>
            </w:r>
          </w:p>
        </w:tc>
      </w:tr>
      <w:tr w:rsidR="00610187" w:rsidRPr="00983EC8" w14:paraId="7A464E79" w14:textId="77777777" w:rsidTr="004B4DED">
        <w:trPr>
          <w:trHeight w:val="371"/>
        </w:trPr>
        <w:tc>
          <w:tcPr>
            <w:tcW w:w="14562" w:type="dxa"/>
            <w:gridSpan w:val="4"/>
            <w:vAlign w:val="center"/>
          </w:tcPr>
          <w:p w14:paraId="0B489344" w14:textId="373350B0" w:rsidR="00610187" w:rsidRPr="0007739F" w:rsidRDefault="00610187" w:rsidP="0007739F">
            <w:pPr>
              <w:pStyle w:val="af7"/>
              <w:jc w:val="center"/>
              <w:rPr>
                <w:i/>
              </w:rPr>
            </w:pPr>
            <w:r w:rsidRPr="0007739F">
              <w:rPr>
                <w:i/>
              </w:rPr>
              <w:t>Культура</w:t>
            </w:r>
          </w:p>
        </w:tc>
      </w:tr>
      <w:tr w:rsidR="00610187" w:rsidRPr="00983EC8" w14:paraId="3589990E" w14:textId="77777777" w:rsidTr="00F5223B">
        <w:trPr>
          <w:trHeight w:val="371"/>
        </w:trPr>
        <w:tc>
          <w:tcPr>
            <w:tcW w:w="3640" w:type="dxa"/>
          </w:tcPr>
          <w:p w14:paraId="553CA433" w14:textId="4D76E8B0" w:rsidR="00610187" w:rsidRPr="00983EC8" w:rsidRDefault="001959DE" w:rsidP="0007739F">
            <w:pPr>
              <w:pStyle w:val="af7"/>
            </w:pPr>
            <w:r w:rsidRPr="00983EC8">
              <w:t>-</w:t>
            </w:r>
            <w:r w:rsidR="00610187" w:rsidRPr="00983EC8">
              <w:t>Доступность ресурсов и инфраструктуры</w:t>
            </w:r>
            <w:r w:rsidRPr="00983EC8">
              <w:t xml:space="preserve"> в сфере культуры</w:t>
            </w:r>
          </w:p>
          <w:p w14:paraId="0E1EC1B7" w14:textId="1AC56ECF" w:rsidR="00610187" w:rsidRPr="00983EC8" w:rsidRDefault="001959DE" w:rsidP="0007739F">
            <w:pPr>
              <w:pStyle w:val="af7"/>
            </w:pPr>
            <w:r w:rsidRPr="00983EC8">
              <w:t>-</w:t>
            </w:r>
            <w:r w:rsidR="00610187" w:rsidRPr="00983EC8">
              <w:t>Рост отношения среднемесячной заработной платы работников учреждений культуры к среднемесячной зараб</w:t>
            </w:r>
            <w:r w:rsidRPr="00983EC8">
              <w:t>отной плате в автономном округе</w:t>
            </w:r>
          </w:p>
          <w:p w14:paraId="5D5BE0C5" w14:textId="2338B74B" w:rsidR="00610187" w:rsidRPr="00983EC8" w:rsidRDefault="001959DE" w:rsidP="0007739F">
            <w:pPr>
              <w:pStyle w:val="af7"/>
            </w:pPr>
            <w:r w:rsidRPr="00983EC8">
              <w:t>-</w:t>
            </w:r>
            <w:r w:rsidR="00610187" w:rsidRPr="00983EC8">
              <w:t>Стабильная численность работников библиотек, работников и преподавателей детских музыкальных, художественных, хореографических школ и школ искусств</w:t>
            </w:r>
          </w:p>
        </w:tc>
        <w:tc>
          <w:tcPr>
            <w:tcW w:w="3640" w:type="dxa"/>
          </w:tcPr>
          <w:p w14:paraId="372992DE" w14:textId="7C0FD26D" w:rsidR="00610187" w:rsidRPr="00983EC8" w:rsidRDefault="001959DE" w:rsidP="0007739F">
            <w:pPr>
              <w:pStyle w:val="af7"/>
            </w:pPr>
            <w:r w:rsidRPr="00983EC8">
              <w:t>-Н</w:t>
            </w:r>
            <w:r w:rsidR="00610187" w:rsidRPr="00983EC8">
              <w:t>едостаточ</w:t>
            </w:r>
            <w:r w:rsidRPr="00983EC8">
              <w:t>ная инфраструктурная обеспеченность сферы культуры</w:t>
            </w:r>
            <w:r w:rsidR="00610187" w:rsidRPr="00983EC8">
              <w:t>: отставание района по обеспеченности отдельн</w:t>
            </w:r>
            <w:r w:rsidRPr="00983EC8">
              <w:t>ыми видами учреждений культуры (музеи, парки)</w:t>
            </w:r>
          </w:p>
          <w:p w14:paraId="50F414B5" w14:textId="1D14E8D0" w:rsidR="00610187" w:rsidRPr="00983EC8" w:rsidRDefault="001959DE" w:rsidP="0007739F">
            <w:pPr>
              <w:pStyle w:val="af7"/>
            </w:pPr>
            <w:r w:rsidRPr="00983EC8">
              <w:t>-</w:t>
            </w:r>
            <w:r w:rsidR="00610187" w:rsidRPr="00983EC8">
              <w:t>Несоответствие материально-технической базы части учреждений (объектов) культуры современным техническим требованиям и современным стандартам качес</w:t>
            </w:r>
            <w:r w:rsidR="00BB187E" w:rsidRPr="00983EC8">
              <w:t>твенного обслуживания населения</w:t>
            </w:r>
          </w:p>
          <w:p w14:paraId="28CAC57A" w14:textId="110DA603" w:rsidR="00610187" w:rsidRPr="00983EC8" w:rsidRDefault="00BB187E" w:rsidP="0007739F">
            <w:pPr>
              <w:pStyle w:val="af7"/>
            </w:pPr>
            <w:r w:rsidRPr="00983EC8">
              <w:t>-</w:t>
            </w:r>
            <w:r w:rsidR="00610187" w:rsidRPr="00983EC8">
              <w:t xml:space="preserve">Недостаточная кадровая </w:t>
            </w:r>
            <w:r w:rsidR="00610187" w:rsidRPr="00983EC8">
              <w:lastRenderedPageBreak/>
              <w:t>обеспеченность, в том числе квалифицированными специалистами</w:t>
            </w:r>
            <w:r w:rsidRPr="00983EC8">
              <w:t>,</w:t>
            </w:r>
            <w:r w:rsidR="00F66ED5" w:rsidRPr="00983EC8">
              <w:t xml:space="preserve"> сферы</w:t>
            </w:r>
            <w:r w:rsidR="00610187" w:rsidRPr="00983EC8">
              <w:t xml:space="preserve"> культуры и обр</w:t>
            </w:r>
            <w:r w:rsidRPr="00983EC8">
              <w:t xml:space="preserve">азования </w:t>
            </w:r>
          </w:p>
        </w:tc>
        <w:tc>
          <w:tcPr>
            <w:tcW w:w="3641" w:type="dxa"/>
          </w:tcPr>
          <w:p w14:paraId="693A0881" w14:textId="77777777" w:rsidR="00F66ED5" w:rsidRPr="00983EC8" w:rsidRDefault="00F66ED5" w:rsidP="0007739F">
            <w:pPr>
              <w:pStyle w:val="af7"/>
            </w:pPr>
            <w:r w:rsidRPr="00983EC8">
              <w:rPr>
                <w:color w:val="000000"/>
              </w:rPr>
              <w:lastRenderedPageBreak/>
              <w:t>-</w:t>
            </w:r>
            <w:r w:rsidR="00610187" w:rsidRPr="00983EC8">
              <w:rPr>
                <w:color w:val="000000"/>
              </w:rPr>
              <w:t xml:space="preserve">Модернизация имущественного комплекса: </w:t>
            </w:r>
            <w:r w:rsidRPr="00983EC8">
              <w:t>строительство и капитальный ремонт</w:t>
            </w:r>
            <w:r w:rsidR="00610187" w:rsidRPr="00983EC8">
              <w:t xml:space="preserve"> объ</w:t>
            </w:r>
            <w:r w:rsidRPr="00983EC8">
              <w:t>ектов учреждений сферы культуры</w:t>
            </w:r>
          </w:p>
          <w:p w14:paraId="3221BC9B" w14:textId="1D9CE01D" w:rsidR="001959DE" w:rsidRPr="00983EC8" w:rsidRDefault="001959DE" w:rsidP="0007739F">
            <w:pPr>
              <w:pStyle w:val="af7"/>
            </w:pPr>
            <w:r w:rsidRPr="00983EC8">
              <w:t>-Сохранение и популяризация культурного потенциала жителей Нефтеюганского района, интеграция сферы в ку</w:t>
            </w:r>
            <w:r w:rsidR="00F66ED5" w:rsidRPr="00983EC8">
              <w:t>льтурное пространство ХМАО-Югры</w:t>
            </w:r>
          </w:p>
          <w:p w14:paraId="7EE7F882" w14:textId="49A80B41" w:rsidR="00610187" w:rsidRPr="00983EC8" w:rsidRDefault="00F66ED5" w:rsidP="0007739F">
            <w:pPr>
              <w:pStyle w:val="af7"/>
              <w:rPr>
                <w:color w:val="000000"/>
              </w:rPr>
            </w:pPr>
            <w:r w:rsidRPr="00983EC8">
              <w:rPr>
                <w:color w:val="000000"/>
              </w:rPr>
              <w:t>-</w:t>
            </w:r>
            <w:r w:rsidR="00610187" w:rsidRPr="00983EC8">
              <w:t>Оснащение учреждений культуры специальным оборудованием и информационно-</w:t>
            </w:r>
            <w:r w:rsidRPr="00983EC8">
              <w:t xml:space="preserve">коммуникационными </w:t>
            </w:r>
            <w:r w:rsidRPr="00983EC8">
              <w:lastRenderedPageBreak/>
              <w:t xml:space="preserve">технологиями </w:t>
            </w:r>
            <w:r w:rsidR="00610187" w:rsidRPr="00983EC8">
              <w:t>с учетом современных требований</w:t>
            </w:r>
          </w:p>
          <w:p w14:paraId="24358E56" w14:textId="663458AA" w:rsidR="00610187" w:rsidRPr="00983EC8" w:rsidRDefault="00F66ED5" w:rsidP="0007739F">
            <w:pPr>
              <w:pStyle w:val="af7"/>
              <w:rPr>
                <w:color w:val="000000"/>
              </w:rPr>
            </w:pPr>
            <w:r w:rsidRPr="00983EC8">
              <w:t>-</w:t>
            </w:r>
            <w:r w:rsidR="00610187" w:rsidRPr="00983EC8">
              <w:t>Актуализация фондов библиотек, их ежегодное обновление в соответствии с нормативом</w:t>
            </w:r>
          </w:p>
          <w:p w14:paraId="06069FFB" w14:textId="36E8568D" w:rsidR="00610187" w:rsidRPr="00983EC8" w:rsidRDefault="00F66ED5" w:rsidP="0007739F">
            <w:pPr>
              <w:pStyle w:val="af7"/>
            </w:pPr>
            <w:r w:rsidRPr="00983EC8">
              <w:t>-</w:t>
            </w:r>
            <w:r w:rsidR="00610187" w:rsidRPr="00983EC8">
              <w:t>Совершенствование системы правовой, экономической и информационной поддержки</w:t>
            </w:r>
            <w:r w:rsidRPr="00983EC8">
              <w:t xml:space="preserve"> </w:t>
            </w:r>
            <w:r w:rsidR="0018333D" w:rsidRPr="00983EC8">
              <w:t xml:space="preserve">сферы </w:t>
            </w:r>
            <w:r w:rsidRPr="00983EC8">
              <w:t xml:space="preserve">культуры </w:t>
            </w:r>
          </w:p>
        </w:tc>
        <w:tc>
          <w:tcPr>
            <w:tcW w:w="3641" w:type="dxa"/>
          </w:tcPr>
          <w:p w14:paraId="2C1E438C" w14:textId="0F3CC1EA" w:rsidR="00610187" w:rsidRPr="00983EC8" w:rsidRDefault="004661E4" w:rsidP="0007739F">
            <w:pPr>
              <w:pStyle w:val="af7"/>
              <w:rPr>
                <w:color w:val="000000"/>
              </w:rPr>
            </w:pPr>
            <w:r w:rsidRPr="00983EC8">
              <w:lastRenderedPageBreak/>
              <w:t>-Низкая к</w:t>
            </w:r>
            <w:r w:rsidR="00610187" w:rsidRPr="00983EC8">
              <w:t>адровая обеспеченность квалифицированными специалистами в сфере культуры</w:t>
            </w:r>
          </w:p>
          <w:p w14:paraId="47341EAC" w14:textId="6551863B" w:rsidR="00610187" w:rsidRPr="00983EC8" w:rsidRDefault="004661E4" w:rsidP="0007739F">
            <w:pPr>
              <w:pStyle w:val="af7"/>
            </w:pPr>
            <w:r w:rsidRPr="00983EC8">
              <w:t>-</w:t>
            </w:r>
            <w:r w:rsidR="00610187" w:rsidRPr="00983EC8">
              <w:t>Снижение культурного уровня населения, его творческой активности, утрата духовных ценностей и рост социального напряжения</w:t>
            </w:r>
          </w:p>
        </w:tc>
      </w:tr>
      <w:tr w:rsidR="00610187" w:rsidRPr="00983EC8" w14:paraId="2F3E4F02" w14:textId="77777777" w:rsidTr="004B4DED">
        <w:trPr>
          <w:trHeight w:val="371"/>
        </w:trPr>
        <w:tc>
          <w:tcPr>
            <w:tcW w:w="14562" w:type="dxa"/>
            <w:gridSpan w:val="4"/>
            <w:vAlign w:val="center"/>
          </w:tcPr>
          <w:p w14:paraId="7C7BAA39" w14:textId="3599FBFC" w:rsidR="00610187" w:rsidRPr="0007739F" w:rsidRDefault="00610187" w:rsidP="0007739F">
            <w:pPr>
              <w:pStyle w:val="af7"/>
              <w:jc w:val="center"/>
              <w:rPr>
                <w:i/>
              </w:rPr>
            </w:pPr>
            <w:r w:rsidRPr="0007739F">
              <w:rPr>
                <w:i/>
              </w:rPr>
              <w:lastRenderedPageBreak/>
              <w:t>Физическая культура и спорт</w:t>
            </w:r>
          </w:p>
        </w:tc>
      </w:tr>
      <w:tr w:rsidR="00610187" w:rsidRPr="00983EC8" w14:paraId="67C4C089" w14:textId="77777777" w:rsidTr="00F5223B">
        <w:trPr>
          <w:trHeight w:val="371"/>
        </w:trPr>
        <w:tc>
          <w:tcPr>
            <w:tcW w:w="3640" w:type="dxa"/>
          </w:tcPr>
          <w:p w14:paraId="1476A2BB" w14:textId="7FB6343D" w:rsidR="00610187" w:rsidRPr="00983EC8" w:rsidRDefault="00127186" w:rsidP="0007739F">
            <w:pPr>
              <w:pStyle w:val="af7"/>
            </w:pPr>
            <w:r w:rsidRPr="00983EC8">
              <w:t>-</w:t>
            </w:r>
            <w:r w:rsidR="00610187" w:rsidRPr="00983EC8">
              <w:t>Доступная инфраструктура для занятий физической культурой и спортом, в том числе для детей</w:t>
            </w:r>
          </w:p>
          <w:p w14:paraId="264D9FC6" w14:textId="01785088" w:rsidR="00610187" w:rsidRPr="00983EC8" w:rsidRDefault="00127186" w:rsidP="0007739F">
            <w:pPr>
              <w:pStyle w:val="af7"/>
            </w:pPr>
            <w:r w:rsidRPr="00983EC8">
              <w:t>-</w:t>
            </w:r>
            <w:r w:rsidR="00610187" w:rsidRPr="00983EC8">
              <w:t>Увеличение численности жителей, систематически занимающихся</w:t>
            </w:r>
            <w:r w:rsidRPr="00983EC8">
              <w:t xml:space="preserve"> физической культурой и спортом</w:t>
            </w:r>
          </w:p>
          <w:p w14:paraId="0AF73F7B" w14:textId="71906B44" w:rsidR="00610187" w:rsidRPr="00983EC8" w:rsidRDefault="00127186" w:rsidP="0007739F">
            <w:pPr>
              <w:pStyle w:val="af7"/>
            </w:pPr>
            <w:r w:rsidRPr="00983EC8">
              <w:t>-</w:t>
            </w:r>
            <w:r w:rsidR="00610187" w:rsidRPr="00983EC8">
              <w:t>Рост числа спортивных сооружений, спортивных залов, обеспеченности объектами физической культуры и спорт</w:t>
            </w:r>
            <w:r w:rsidRPr="00983EC8">
              <w:t>ом</w:t>
            </w:r>
          </w:p>
          <w:p w14:paraId="3BB54D55" w14:textId="23CBD38A" w:rsidR="00610187" w:rsidRPr="00983EC8" w:rsidRDefault="00127186" w:rsidP="0007739F">
            <w:pPr>
              <w:pStyle w:val="af7"/>
            </w:pPr>
            <w:r w:rsidRPr="00983EC8">
              <w:t>-</w:t>
            </w:r>
            <w:r w:rsidR="00610187" w:rsidRPr="00983EC8">
              <w:t>Предоставление муниципальных физкультурно-оздоровительных услуг</w:t>
            </w:r>
          </w:p>
        </w:tc>
        <w:tc>
          <w:tcPr>
            <w:tcW w:w="3640" w:type="dxa"/>
          </w:tcPr>
          <w:p w14:paraId="5B43B64E" w14:textId="25B6DCFA" w:rsidR="00610187" w:rsidRPr="00983EC8" w:rsidRDefault="00127186" w:rsidP="0007739F">
            <w:pPr>
              <w:pStyle w:val="af7"/>
            </w:pPr>
            <w:r w:rsidRPr="00983EC8">
              <w:t>-</w:t>
            </w:r>
            <w:r w:rsidR="00610187" w:rsidRPr="00983EC8">
              <w:t xml:space="preserve">Недостаточная доступность занятий физической культурой и спортом </w:t>
            </w:r>
            <w:r w:rsidRPr="00983EC8">
              <w:t>для определенных категорий</w:t>
            </w:r>
            <w:r w:rsidR="00610187" w:rsidRPr="00983EC8">
              <w:t xml:space="preserve"> населения </w:t>
            </w:r>
          </w:p>
          <w:p w14:paraId="071896FD" w14:textId="2C5474B7" w:rsidR="00610187" w:rsidRPr="00983EC8" w:rsidRDefault="00127186" w:rsidP="0007739F">
            <w:pPr>
              <w:pStyle w:val="af7"/>
            </w:pPr>
            <w:r w:rsidRPr="00983EC8">
              <w:t>-</w:t>
            </w:r>
            <w:r w:rsidR="00610187" w:rsidRPr="00983EC8">
              <w:t>Необходимость постоянного совершенствования и укрепления</w:t>
            </w:r>
            <w:r w:rsidRPr="00983EC8">
              <w:t xml:space="preserve"> </w:t>
            </w:r>
            <w:r w:rsidR="00610187" w:rsidRPr="00983EC8">
              <w:t>материально-спортивной базы, обеспеченной современным спорти</w:t>
            </w:r>
            <w:r w:rsidRPr="00983EC8">
              <w:t>вным оборудованием и инвентарем</w:t>
            </w:r>
          </w:p>
          <w:p w14:paraId="7DB145A4" w14:textId="60CB2578" w:rsidR="00127186" w:rsidRPr="00983EC8" w:rsidRDefault="00127186" w:rsidP="0007739F">
            <w:pPr>
              <w:pStyle w:val="af7"/>
            </w:pPr>
            <w:r w:rsidRPr="00983EC8">
              <w:t>-</w:t>
            </w:r>
            <w:r w:rsidR="00610187" w:rsidRPr="00983EC8">
              <w:t>Недостаточная кадровая обеспеченность, в том числе квалифицированными специалистами сферы физической культуры и спорт</w:t>
            </w:r>
            <w:r w:rsidRPr="00983EC8">
              <w:t>а</w:t>
            </w:r>
          </w:p>
          <w:p w14:paraId="12245089" w14:textId="77777777" w:rsidR="00127186" w:rsidRPr="00983EC8" w:rsidRDefault="00127186" w:rsidP="0007739F">
            <w:pPr>
              <w:pStyle w:val="af7"/>
            </w:pPr>
            <w:r w:rsidRPr="00983EC8">
              <w:t>-</w:t>
            </w:r>
            <w:r w:rsidR="00610187" w:rsidRPr="00983EC8">
              <w:t>Невысокое качество и ограниченный перечень физкультурно-оздоровительных услуг, ориентированных на все категории жителей Нефтеюганского района</w:t>
            </w:r>
          </w:p>
          <w:p w14:paraId="35648C1F" w14:textId="555B803C" w:rsidR="00610187" w:rsidRPr="00983EC8" w:rsidRDefault="00127186" w:rsidP="0007739F">
            <w:pPr>
              <w:pStyle w:val="af7"/>
            </w:pPr>
            <w:r w:rsidRPr="00983EC8">
              <w:t>-</w:t>
            </w:r>
            <w:r w:rsidR="00610187" w:rsidRPr="00983EC8">
              <w:t>Спад численности занимающихся в детско-юношеских спортивных школах</w:t>
            </w:r>
          </w:p>
        </w:tc>
        <w:tc>
          <w:tcPr>
            <w:tcW w:w="3641" w:type="dxa"/>
          </w:tcPr>
          <w:p w14:paraId="0F7678C3" w14:textId="77777777" w:rsidR="00C41CC8" w:rsidRPr="00983EC8" w:rsidRDefault="00C41CC8" w:rsidP="0007739F">
            <w:pPr>
              <w:pStyle w:val="af7"/>
            </w:pPr>
            <w:r w:rsidRPr="00983EC8">
              <w:t>-</w:t>
            </w:r>
            <w:r w:rsidR="00610187" w:rsidRPr="00983EC8">
              <w:t xml:space="preserve">Строительство новых </w:t>
            </w:r>
            <w:r w:rsidRPr="00983EC8">
              <w:t>спортивных сооружений</w:t>
            </w:r>
            <w:r w:rsidR="00610187" w:rsidRPr="00983EC8">
              <w:t xml:space="preserve"> (в том числе многофункциональных физкультурно-оздоровительных комплексов, бассейна, лыжных баз, открытых плоскостных физкультурно-спортивных сооружений (площадок, полей) при софинансировании Департамента по физической культуре и спорту Ханты-Мансийского автономного округа-Югры, органов местного самоуправления, а также с пр</w:t>
            </w:r>
            <w:r w:rsidRPr="00983EC8">
              <w:t>ивлечением внебюджетных средств</w:t>
            </w:r>
          </w:p>
          <w:p w14:paraId="6D605DB9" w14:textId="506F1475" w:rsidR="00610187" w:rsidRPr="00983EC8" w:rsidRDefault="00C41CC8" w:rsidP="0007739F">
            <w:pPr>
              <w:pStyle w:val="af7"/>
            </w:pPr>
            <w:r w:rsidRPr="00983EC8">
              <w:t>-П</w:t>
            </w:r>
            <w:r w:rsidR="00610187" w:rsidRPr="00983EC8">
              <w:t>овышение качества и расширение перечня физкультурно-оздоровительных услуг, ориентированных на все категории и социальные слои населения</w:t>
            </w:r>
          </w:p>
        </w:tc>
        <w:tc>
          <w:tcPr>
            <w:tcW w:w="3641" w:type="dxa"/>
          </w:tcPr>
          <w:p w14:paraId="40830024" w14:textId="0481E7E4" w:rsidR="00610187" w:rsidRPr="00983EC8" w:rsidRDefault="00AC07A4" w:rsidP="0007739F">
            <w:pPr>
              <w:pStyle w:val="af7"/>
            </w:pPr>
            <w:r w:rsidRPr="00983EC8">
              <w:t>-</w:t>
            </w:r>
            <w:r w:rsidR="00C41CC8" w:rsidRPr="00983EC8">
              <w:t>Сокращение кадровой обеспеченности</w:t>
            </w:r>
            <w:r w:rsidR="00610187" w:rsidRPr="00983EC8">
              <w:t xml:space="preserve"> квалифицированными специалистами в области физической культуры и спорта</w:t>
            </w:r>
            <w:r w:rsidR="00C41CC8" w:rsidRPr="00983EC8">
              <w:t xml:space="preserve"> в сельской местности</w:t>
            </w:r>
          </w:p>
          <w:p w14:paraId="24F86198" w14:textId="06A9BC92" w:rsidR="00AC07A4" w:rsidRPr="00983EC8" w:rsidRDefault="00AC07A4" w:rsidP="0007739F">
            <w:pPr>
              <w:pStyle w:val="af7"/>
            </w:pPr>
            <w:r w:rsidRPr="00983EC8">
              <w:t>-Дифференциация уровня обеспеченности объектами физической культуры и спорта в городской и сельской местности</w:t>
            </w:r>
          </w:p>
        </w:tc>
      </w:tr>
      <w:tr w:rsidR="00610187" w:rsidRPr="00983EC8" w14:paraId="328154B0" w14:textId="77777777" w:rsidTr="004D6893">
        <w:trPr>
          <w:trHeight w:val="371"/>
        </w:trPr>
        <w:tc>
          <w:tcPr>
            <w:tcW w:w="14562" w:type="dxa"/>
            <w:gridSpan w:val="4"/>
          </w:tcPr>
          <w:p w14:paraId="67F4B99B" w14:textId="39982512" w:rsidR="00610187" w:rsidRPr="0007739F" w:rsidRDefault="00CA50DE" w:rsidP="0007739F">
            <w:pPr>
              <w:pStyle w:val="af7"/>
              <w:jc w:val="center"/>
              <w:rPr>
                <w:b/>
                <w:sz w:val="24"/>
              </w:rPr>
            </w:pPr>
            <w:r w:rsidRPr="0007739F">
              <w:rPr>
                <w:b/>
                <w:sz w:val="24"/>
              </w:rPr>
              <w:t>Жилищно-</w:t>
            </w:r>
            <w:r w:rsidR="00610187" w:rsidRPr="0007739F">
              <w:rPr>
                <w:b/>
                <w:sz w:val="24"/>
              </w:rPr>
              <w:t>коммунальное хозяйство</w:t>
            </w:r>
          </w:p>
        </w:tc>
      </w:tr>
      <w:tr w:rsidR="00610187" w:rsidRPr="00983EC8" w14:paraId="1251E735" w14:textId="77777777" w:rsidTr="0007739F">
        <w:trPr>
          <w:trHeight w:val="7411"/>
        </w:trPr>
        <w:tc>
          <w:tcPr>
            <w:tcW w:w="3640" w:type="dxa"/>
          </w:tcPr>
          <w:p w14:paraId="03528716" w14:textId="03F4D7AB" w:rsidR="00610187" w:rsidRPr="00983EC8" w:rsidRDefault="00CA50DE" w:rsidP="0007739F">
            <w:pPr>
              <w:pStyle w:val="af7"/>
            </w:pPr>
            <w:r w:rsidRPr="00983EC8">
              <w:lastRenderedPageBreak/>
              <w:t>-</w:t>
            </w:r>
            <w:r w:rsidR="00610187" w:rsidRPr="00983EC8">
              <w:t>Развитая сеть услуг жилищно-коммунальных предприятий и конкуренция на рынке услуг ЖКХ</w:t>
            </w:r>
          </w:p>
          <w:p w14:paraId="7C1CD4C6" w14:textId="63025BA3" w:rsidR="00610187" w:rsidRPr="00983EC8" w:rsidRDefault="00CA50DE" w:rsidP="0007739F">
            <w:pPr>
              <w:pStyle w:val="af7"/>
            </w:pPr>
            <w:r w:rsidRPr="00983EC8">
              <w:t>-</w:t>
            </w:r>
            <w:r w:rsidR="00610187" w:rsidRPr="00983EC8">
              <w:t xml:space="preserve">Высокий уровень обеспеченности населения услугами централизованного теплоснабжения, водоснабжения и водоотведения </w:t>
            </w:r>
          </w:p>
        </w:tc>
        <w:tc>
          <w:tcPr>
            <w:tcW w:w="3640" w:type="dxa"/>
          </w:tcPr>
          <w:p w14:paraId="1AC84FEF" w14:textId="6C8275F9" w:rsidR="00610187" w:rsidRPr="00983EC8" w:rsidRDefault="00CA50DE" w:rsidP="0007739F">
            <w:pPr>
              <w:pStyle w:val="af7"/>
            </w:pPr>
            <w:r w:rsidRPr="00983EC8">
              <w:t>-</w:t>
            </w:r>
            <w:r w:rsidR="00610187" w:rsidRPr="00983EC8">
              <w:t>Низкий уровень собираемости платежей населения за жилищно-коммунальные услуги</w:t>
            </w:r>
          </w:p>
          <w:p w14:paraId="043ABC2A" w14:textId="63F4B1AA" w:rsidR="00610187" w:rsidRPr="00983EC8" w:rsidRDefault="00CA50DE" w:rsidP="0007739F">
            <w:pPr>
              <w:pStyle w:val="af7"/>
            </w:pPr>
            <w:r w:rsidRPr="00983EC8">
              <w:t>-</w:t>
            </w:r>
            <w:r w:rsidR="00610187" w:rsidRPr="00983EC8">
              <w:t>Высокий уровень износа всех инженерных коммуникаций</w:t>
            </w:r>
          </w:p>
          <w:p w14:paraId="23E6EEB9" w14:textId="3D50A94A" w:rsidR="00610187" w:rsidRPr="00983EC8" w:rsidRDefault="00CA50DE" w:rsidP="0007739F">
            <w:pPr>
              <w:pStyle w:val="af7"/>
              <w:rPr>
                <w:color w:val="000000"/>
              </w:rPr>
            </w:pPr>
            <w:r w:rsidRPr="00983EC8">
              <w:rPr>
                <w:color w:val="000000"/>
              </w:rPr>
              <w:t>-</w:t>
            </w:r>
            <w:r w:rsidR="00610187" w:rsidRPr="00983EC8">
              <w:rPr>
                <w:color w:val="000000"/>
              </w:rPr>
              <w:t xml:space="preserve">Высокий уровень энергоемкости системы теплоснабжения, </w:t>
            </w:r>
            <w:r w:rsidR="00610187" w:rsidRPr="00983EC8">
              <w:t>потери топлива при транспортировке до конечного потребителя</w:t>
            </w:r>
          </w:p>
          <w:p w14:paraId="46249EA8" w14:textId="5A7B5040" w:rsidR="00610187" w:rsidRPr="00983EC8" w:rsidRDefault="00CA50DE" w:rsidP="0007739F">
            <w:pPr>
              <w:pStyle w:val="af7"/>
            </w:pPr>
            <w:r w:rsidRPr="00983EC8">
              <w:t>-</w:t>
            </w:r>
            <w:r w:rsidR="00610187" w:rsidRPr="00983EC8">
              <w:t>Условия работы тепловых сетей в тяжелых климатических условиях при наличии постоянных грунтовых вод и резких смен температуры наружного воздуха в отопительный период</w:t>
            </w:r>
          </w:p>
          <w:p w14:paraId="1811A7B8" w14:textId="47C29552" w:rsidR="00610187" w:rsidRPr="00983EC8" w:rsidRDefault="00CA50DE" w:rsidP="0007739F">
            <w:pPr>
              <w:pStyle w:val="af7"/>
            </w:pPr>
            <w:r w:rsidRPr="00983EC8">
              <w:t>-</w:t>
            </w:r>
            <w:r w:rsidR="00610187" w:rsidRPr="00983EC8">
              <w:t>Функционирование котельных со значительным превышением нормативного срока, физический износ оборудования котельных</w:t>
            </w:r>
          </w:p>
          <w:p w14:paraId="6ED0FE72" w14:textId="0EE73E1D" w:rsidR="00610187" w:rsidRPr="00983EC8" w:rsidRDefault="00CA50DE" w:rsidP="0007739F">
            <w:pPr>
              <w:pStyle w:val="af7"/>
              <w:rPr>
                <w:color w:val="000000"/>
              </w:rPr>
            </w:pPr>
            <w:r w:rsidRPr="00983EC8">
              <w:t>-</w:t>
            </w:r>
            <w:r w:rsidR="00610187" w:rsidRPr="00983EC8">
              <w:t>Загрязнение питьевой воды продуктами коррозии трубопроводов,</w:t>
            </w:r>
            <w:r w:rsidR="00610187" w:rsidRPr="00983EC8">
              <w:rPr>
                <w:color w:val="000000"/>
              </w:rPr>
              <w:t xml:space="preserve"> несоответствие воды </w:t>
            </w:r>
            <w:r w:rsidR="00610187" w:rsidRPr="00983EC8">
              <w:rPr>
                <w:color w:val="000000" w:themeColor="text1"/>
              </w:rPr>
              <w:t>нормативным требованиям</w:t>
            </w:r>
          </w:p>
          <w:p w14:paraId="3220BDF6" w14:textId="58469169" w:rsidR="00610187" w:rsidRPr="00983EC8" w:rsidRDefault="00CA50DE" w:rsidP="0007739F">
            <w:pPr>
              <w:pStyle w:val="af7"/>
            </w:pPr>
            <w:r w:rsidRPr="00983EC8">
              <w:t>-</w:t>
            </w:r>
            <w:r w:rsidR="00610187" w:rsidRPr="00983EC8">
              <w:t>Недостаточное оснащение населенных пунктов района водоочистными сооружениями</w:t>
            </w:r>
          </w:p>
          <w:p w14:paraId="10555448" w14:textId="26454FCC" w:rsidR="00610187" w:rsidRPr="00983EC8" w:rsidRDefault="00CA50DE" w:rsidP="0007739F">
            <w:pPr>
              <w:pStyle w:val="af7"/>
            </w:pPr>
            <w:r w:rsidRPr="00983EC8">
              <w:t>-</w:t>
            </w:r>
            <w:r w:rsidR="00610187" w:rsidRPr="00983EC8">
              <w:t>Отсутствие резервных магистральных водоводов, высокий процент износа существующих сетей и скважин</w:t>
            </w:r>
          </w:p>
          <w:p w14:paraId="4E656FAB" w14:textId="4C13191B" w:rsidR="00610187" w:rsidRPr="00983EC8" w:rsidRDefault="00CA50DE" w:rsidP="0007739F">
            <w:pPr>
              <w:pStyle w:val="af7"/>
            </w:pPr>
            <w:r w:rsidRPr="00983EC8">
              <w:t>-</w:t>
            </w:r>
            <w:r w:rsidR="00610187" w:rsidRPr="00983EC8">
              <w:t>Наличие б</w:t>
            </w:r>
            <w:r w:rsidR="00610187" w:rsidRPr="00983EC8">
              <w:rPr>
                <w:spacing w:val="-1"/>
              </w:rPr>
              <w:t>ес</w:t>
            </w:r>
            <w:r w:rsidR="00610187" w:rsidRPr="00983EC8">
              <w:rPr>
                <w:spacing w:val="2"/>
              </w:rPr>
              <w:t>х</w:t>
            </w:r>
            <w:r w:rsidR="00610187" w:rsidRPr="00983EC8">
              <w:t>о</w:t>
            </w:r>
            <w:r w:rsidR="00610187" w:rsidRPr="00983EC8">
              <w:rPr>
                <w:spacing w:val="1"/>
              </w:rPr>
              <w:t>з</w:t>
            </w:r>
            <w:r w:rsidR="00610187" w:rsidRPr="00983EC8">
              <w:rPr>
                <w:spacing w:val="-2"/>
              </w:rPr>
              <w:t>я</w:t>
            </w:r>
            <w:r w:rsidR="00610187" w:rsidRPr="00983EC8">
              <w:rPr>
                <w:spacing w:val="1"/>
              </w:rPr>
              <w:t>йн</w:t>
            </w:r>
            <w:r w:rsidR="00610187" w:rsidRPr="00983EC8">
              <w:rPr>
                <w:spacing w:val="-3"/>
              </w:rPr>
              <w:t>ы</w:t>
            </w:r>
            <w:r w:rsidR="00610187" w:rsidRPr="00983EC8">
              <w:t>х</w:t>
            </w:r>
            <w:r w:rsidR="00610187" w:rsidRPr="00983EC8">
              <w:rPr>
                <w:spacing w:val="5"/>
              </w:rPr>
              <w:t xml:space="preserve"> </w:t>
            </w:r>
            <w:r w:rsidR="00610187" w:rsidRPr="00983EC8">
              <w:t>сетей тепловодоснабжения балочных массивов и зон индивидуальной застройки, построенных без проектов «самостроем»</w:t>
            </w:r>
          </w:p>
          <w:p w14:paraId="4AC63237" w14:textId="13B6EC0A" w:rsidR="00610187" w:rsidRPr="00983EC8" w:rsidRDefault="00CA50DE" w:rsidP="0007739F">
            <w:pPr>
              <w:pStyle w:val="af7"/>
            </w:pPr>
            <w:r w:rsidRPr="00983EC8">
              <w:t>-</w:t>
            </w:r>
            <w:r w:rsidR="00610187" w:rsidRPr="00983EC8">
              <w:t>Отсутствие сетевого газоснабжения в нескольких населенных пунктах района</w:t>
            </w:r>
          </w:p>
          <w:p w14:paraId="791BA4BD" w14:textId="6B89FD31" w:rsidR="00610187" w:rsidRPr="00983EC8" w:rsidRDefault="00CA50DE" w:rsidP="0007739F">
            <w:pPr>
              <w:pStyle w:val="af7"/>
              <w:rPr>
                <w:color w:val="000000"/>
              </w:rPr>
            </w:pPr>
            <w:r w:rsidRPr="00983EC8">
              <w:t>-</w:t>
            </w:r>
            <w:r w:rsidR="00610187" w:rsidRPr="00983EC8">
              <w:t>Отсутствие резервных источников газоснабжения в населенных пунктах</w:t>
            </w:r>
          </w:p>
        </w:tc>
        <w:tc>
          <w:tcPr>
            <w:tcW w:w="3641" w:type="dxa"/>
          </w:tcPr>
          <w:p w14:paraId="25BD06C9" w14:textId="27C33E88" w:rsidR="00610187" w:rsidRPr="00983EC8" w:rsidRDefault="00CA50DE" w:rsidP="0007739F">
            <w:pPr>
              <w:pStyle w:val="af7"/>
            </w:pPr>
            <w:r w:rsidRPr="00983EC8">
              <w:t>-</w:t>
            </w:r>
            <w:r w:rsidR="00610187" w:rsidRPr="00983EC8">
              <w:t>Выполнение работ по содержанию и текущему ремонту коммунальных объектов за счет средств предприятий, окружного и местного бюджета</w:t>
            </w:r>
          </w:p>
          <w:p w14:paraId="52FEC308" w14:textId="0842B975" w:rsidR="00610187" w:rsidRPr="00983EC8" w:rsidRDefault="00CA50DE" w:rsidP="0007739F">
            <w:pPr>
              <w:pStyle w:val="af7"/>
            </w:pPr>
            <w:r w:rsidRPr="00983EC8">
              <w:t>-</w:t>
            </w:r>
            <w:r w:rsidR="00610187" w:rsidRPr="00983EC8">
              <w:t>Повышение энергоэффективности инженерных систем, в особенности теплосетевого комплекса</w:t>
            </w:r>
          </w:p>
          <w:p w14:paraId="7A091631" w14:textId="02D16D03" w:rsidR="00610187" w:rsidRPr="00983EC8" w:rsidRDefault="00CA50DE" w:rsidP="0007739F">
            <w:pPr>
              <w:pStyle w:val="af7"/>
            </w:pPr>
            <w:r w:rsidRPr="00983EC8">
              <w:t>-</w:t>
            </w:r>
            <w:r w:rsidR="00610187" w:rsidRPr="00983EC8">
              <w:t>Разработка проектов и строительство водоочистных сооружений</w:t>
            </w:r>
          </w:p>
          <w:p w14:paraId="1084BB3B" w14:textId="374FC5B6" w:rsidR="00610187" w:rsidRPr="00983EC8" w:rsidRDefault="00CA50DE" w:rsidP="0007739F">
            <w:pPr>
              <w:pStyle w:val="af7"/>
            </w:pPr>
            <w:r w:rsidRPr="00983EC8">
              <w:t>-</w:t>
            </w:r>
            <w:r w:rsidR="00610187" w:rsidRPr="00983EC8">
              <w:t>Использование резервных мощностей системы теплоснабжения при вводе в эксплуатацию нового жилья</w:t>
            </w:r>
          </w:p>
          <w:p w14:paraId="65A86098" w14:textId="10E1A176" w:rsidR="00610187" w:rsidRPr="00983EC8" w:rsidRDefault="00CA50DE" w:rsidP="0007739F">
            <w:pPr>
              <w:pStyle w:val="af7"/>
            </w:pPr>
            <w:r w:rsidRPr="00983EC8">
              <w:t>-</w:t>
            </w:r>
            <w:r w:rsidR="00610187" w:rsidRPr="00983EC8">
              <w:t xml:space="preserve">Использование индивидуальных теплогенераторов, работающих на газообразном топливе, для теплоснабжения новых объектов ИЖС </w:t>
            </w:r>
          </w:p>
          <w:p w14:paraId="3467DA55" w14:textId="3AFBD4DB" w:rsidR="00610187" w:rsidRPr="00983EC8" w:rsidRDefault="00CA50DE" w:rsidP="0007739F">
            <w:pPr>
              <w:pStyle w:val="af7"/>
            </w:pPr>
            <w:r w:rsidRPr="00983EC8">
              <w:t>-</w:t>
            </w:r>
            <w:r w:rsidR="00610187" w:rsidRPr="00983EC8">
              <w:t>Перевод потребителей на закрытую схему ГВС в сельских поселениях</w:t>
            </w:r>
          </w:p>
          <w:p w14:paraId="348BEDC2" w14:textId="6A2196BE" w:rsidR="00610187" w:rsidRPr="00983EC8" w:rsidRDefault="00CA50DE" w:rsidP="0007739F">
            <w:pPr>
              <w:pStyle w:val="af7"/>
            </w:pPr>
            <w:r w:rsidRPr="00983EC8">
              <w:t>-</w:t>
            </w:r>
            <w:r w:rsidR="00610187" w:rsidRPr="00983EC8">
              <w:t xml:space="preserve">Развитие муниципально-частного партнерства в сфере ЖКХ, </w:t>
            </w:r>
            <w:r w:rsidR="00610187" w:rsidRPr="00983EC8">
              <w:rPr>
                <w:rStyle w:val="style161"/>
                <w:color w:val="000000" w:themeColor="text1"/>
                <w:szCs w:val="20"/>
              </w:rPr>
              <w:t xml:space="preserve">передача </w:t>
            </w:r>
            <w:r w:rsidR="00610187" w:rsidRPr="00983EC8">
              <w:t xml:space="preserve">объектов инженерной инфраструктуры </w:t>
            </w:r>
            <w:r w:rsidR="00610187" w:rsidRPr="00983EC8">
              <w:rPr>
                <w:rStyle w:val="style161"/>
                <w:color w:val="000000" w:themeColor="text1"/>
                <w:szCs w:val="20"/>
              </w:rPr>
              <w:t>по концессионным соглашениям</w:t>
            </w:r>
          </w:p>
        </w:tc>
        <w:tc>
          <w:tcPr>
            <w:tcW w:w="3641" w:type="dxa"/>
          </w:tcPr>
          <w:p w14:paraId="7CF92EA3" w14:textId="29440CBE" w:rsidR="00610187" w:rsidRPr="00983EC8" w:rsidRDefault="00CA50DE" w:rsidP="0007739F">
            <w:pPr>
              <w:pStyle w:val="af7"/>
            </w:pPr>
            <w:r w:rsidRPr="00983EC8">
              <w:t>-</w:t>
            </w:r>
            <w:r w:rsidR="00610187" w:rsidRPr="00983EC8">
              <w:t>Рост тарифов на услуги ЖКХ</w:t>
            </w:r>
            <w:r w:rsidR="00F057DF" w:rsidRPr="00983EC8">
              <w:t xml:space="preserve"> и увеличение задолженности населения за коммунальные услуги</w:t>
            </w:r>
          </w:p>
          <w:p w14:paraId="3AB21D41" w14:textId="2B617BEF" w:rsidR="00610187" w:rsidRPr="00983EC8" w:rsidRDefault="00CA50DE" w:rsidP="0007739F">
            <w:pPr>
              <w:pStyle w:val="af7"/>
            </w:pPr>
            <w:r w:rsidRPr="00983EC8">
              <w:t>-</w:t>
            </w:r>
            <w:r w:rsidR="00610187" w:rsidRPr="00983EC8">
              <w:t>Недостаток финансовых средств для проведения капитального ремонта жилищного фонда</w:t>
            </w:r>
          </w:p>
          <w:p w14:paraId="40111DF1" w14:textId="55DC45E2" w:rsidR="00610187" w:rsidRPr="00983EC8" w:rsidRDefault="00CA50DE" w:rsidP="0007739F">
            <w:pPr>
              <w:pStyle w:val="af7"/>
            </w:pPr>
            <w:r w:rsidRPr="00983EC8">
              <w:t>-</w:t>
            </w:r>
            <w:r w:rsidR="00610187" w:rsidRPr="00983EC8">
              <w:t>Недостаточный процент ежегодной замены тепловых, водопроводных сетей и сетей водоотведения из-за отсутствия финансовых средств</w:t>
            </w:r>
          </w:p>
          <w:p w14:paraId="152298E4" w14:textId="7E71C291" w:rsidR="00610187" w:rsidRPr="00983EC8" w:rsidRDefault="00CA50DE" w:rsidP="0007739F">
            <w:pPr>
              <w:pStyle w:val="af7"/>
            </w:pPr>
            <w:r w:rsidRPr="00983EC8">
              <w:t>-</w:t>
            </w:r>
            <w:r w:rsidR="00610187" w:rsidRPr="00983EC8">
              <w:t>Повышение вероятности возникновения аварий на объектах жилищно-коммунального хозяйства, связанное с нарастающим ветшанием основных фондов</w:t>
            </w:r>
          </w:p>
          <w:p w14:paraId="730E08CA" w14:textId="6D424236" w:rsidR="00610187" w:rsidRPr="00983EC8" w:rsidRDefault="00CA50DE" w:rsidP="0007739F">
            <w:pPr>
              <w:pStyle w:val="af7"/>
            </w:pPr>
            <w:r w:rsidRPr="00983EC8">
              <w:t>-</w:t>
            </w:r>
            <w:r w:rsidR="00610187" w:rsidRPr="00983EC8">
              <w:t>Нарушение режима работы объектов теплоснабжения в отопительный период</w:t>
            </w:r>
          </w:p>
          <w:p w14:paraId="64FBCD0D" w14:textId="21F31678" w:rsidR="00610187" w:rsidRPr="00983EC8" w:rsidRDefault="00CA50DE" w:rsidP="0007739F">
            <w:pPr>
              <w:pStyle w:val="af7"/>
              <w:rPr>
                <w:color w:val="000000"/>
              </w:rPr>
            </w:pPr>
            <w:r w:rsidRPr="00983EC8">
              <w:t>-</w:t>
            </w:r>
            <w:r w:rsidR="00610187" w:rsidRPr="00983EC8">
              <w:t>Снижение производительности артезианских скважин по причине выработки ресурса</w:t>
            </w:r>
          </w:p>
          <w:p w14:paraId="772CF222" w14:textId="2F088F9A" w:rsidR="00610187" w:rsidRPr="00983EC8" w:rsidRDefault="00CA50DE" w:rsidP="0007739F">
            <w:pPr>
              <w:pStyle w:val="af7"/>
            </w:pPr>
            <w:r w:rsidRPr="00983EC8">
              <w:t>-</w:t>
            </w:r>
            <w:r w:rsidR="00610187" w:rsidRPr="00983EC8">
              <w:t>Рост дифференциации качества услуг ЖКХ в поселениях района</w:t>
            </w:r>
          </w:p>
        </w:tc>
      </w:tr>
      <w:tr w:rsidR="00610187" w:rsidRPr="00983EC8" w14:paraId="7CC8A663" w14:textId="77777777" w:rsidTr="004D6893">
        <w:trPr>
          <w:trHeight w:val="371"/>
        </w:trPr>
        <w:tc>
          <w:tcPr>
            <w:tcW w:w="14562" w:type="dxa"/>
            <w:gridSpan w:val="4"/>
          </w:tcPr>
          <w:p w14:paraId="259C6B2F" w14:textId="3FD67DCB" w:rsidR="00610187" w:rsidRPr="0007739F" w:rsidRDefault="00610187" w:rsidP="0007739F">
            <w:pPr>
              <w:pStyle w:val="af7"/>
              <w:jc w:val="center"/>
              <w:rPr>
                <w:b/>
                <w:sz w:val="24"/>
              </w:rPr>
            </w:pPr>
            <w:r w:rsidRPr="0007739F">
              <w:rPr>
                <w:b/>
                <w:sz w:val="24"/>
              </w:rPr>
              <w:lastRenderedPageBreak/>
              <w:t>Жилищное строительство</w:t>
            </w:r>
          </w:p>
        </w:tc>
      </w:tr>
      <w:tr w:rsidR="00610187" w:rsidRPr="00983EC8" w14:paraId="0CF1CC16" w14:textId="77777777" w:rsidTr="00F5223B">
        <w:trPr>
          <w:trHeight w:val="371"/>
        </w:trPr>
        <w:tc>
          <w:tcPr>
            <w:tcW w:w="3640" w:type="dxa"/>
          </w:tcPr>
          <w:p w14:paraId="78C23392" w14:textId="42EAE186" w:rsidR="00610187" w:rsidRPr="00983EC8" w:rsidRDefault="00FC3F5F" w:rsidP="0007739F">
            <w:pPr>
              <w:pStyle w:val="af7"/>
            </w:pPr>
            <w:r w:rsidRPr="00983EC8">
              <w:t>-</w:t>
            </w:r>
            <w:r w:rsidR="00610187" w:rsidRPr="00983EC8">
              <w:t>Высокая степень благоустройства жилых домов централизованными системами теплоснабжения, водоснабжения и водоотведения</w:t>
            </w:r>
          </w:p>
        </w:tc>
        <w:tc>
          <w:tcPr>
            <w:tcW w:w="3640" w:type="dxa"/>
          </w:tcPr>
          <w:p w14:paraId="30C2A104" w14:textId="47DA9BEF" w:rsidR="00610187" w:rsidRPr="00983EC8" w:rsidRDefault="00FC3F5F" w:rsidP="0007739F">
            <w:pPr>
              <w:pStyle w:val="af7"/>
            </w:pPr>
            <w:r w:rsidRPr="00983EC8">
              <w:t>-</w:t>
            </w:r>
            <w:r w:rsidR="00610187" w:rsidRPr="00983EC8">
              <w:t>Недостаточная обеспеченность населения жилыми площадями</w:t>
            </w:r>
          </w:p>
          <w:p w14:paraId="19CDE0EF" w14:textId="289CF9E4" w:rsidR="00610187" w:rsidRPr="00983EC8" w:rsidRDefault="00FC3F5F" w:rsidP="0007739F">
            <w:pPr>
              <w:pStyle w:val="af7"/>
            </w:pPr>
            <w:r w:rsidRPr="00983EC8">
              <w:t>-</w:t>
            </w:r>
            <w:r w:rsidR="00610187" w:rsidRPr="00983EC8">
              <w:t>Наличие жилых помещений непригодных для проживания, высокая доля аварийного, ветхого и фенольного жилья</w:t>
            </w:r>
          </w:p>
          <w:p w14:paraId="0D4DDC88" w14:textId="77777777" w:rsidR="00FC3F5F" w:rsidRPr="00983EC8" w:rsidRDefault="00FC3F5F" w:rsidP="0007739F">
            <w:pPr>
              <w:pStyle w:val="af7"/>
              <w:rPr>
                <w:color w:val="000000"/>
              </w:rPr>
            </w:pPr>
            <w:r w:rsidRPr="00983EC8">
              <w:t>-</w:t>
            </w:r>
            <w:r w:rsidR="00610187" w:rsidRPr="00983EC8">
              <w:t>Недостаток жилья с различными потребительскими характеристиками для разных категорий населения</w:t>
            </w:r>
          </w:p>
          <w:p w14:paraId="4D416D30" w14:textId="72C6C5C2" w:rsidR="00610187" w:rsidRPr="00983EC8" w:rsidRDefault="00FC3F5F" w:rsidP="0007739F">
            <w:pPr>
              <w:pStyle w:val="af7"/>
            </w:pPr>
            <w:r w:rsidRPr="00983EC8">
              <w:rPr>
                <w:color w:val="000000"/>
              </w:rPr>
              <w:t>-</w:t>
            </w:r>
            <w:r w:rsidR="00610187" w:rsidRPr="00983EC8">
              <w:rPr>
                <w:color w:val="000000"/>
              </w:rPr>
              <w:t xml:space="preserve">Несоответствие </w:t>
            </w:r>
            <w:r w:rsidR="00610187" w:rsidRPr="00983EC8">
              <w:t>дворовых территорий современным требованиям к местам проживания граждан</w:t>
            </w:r>
          </w:p>
        </w:tc>
        <w:tc>
          <w:tcPr>
            <w:tcW w:w="3641" w:type="dxa"/>
          </w:tcPr>
          <w:p w14:paraId="5521F90A" w14:textId="4E9DAADF" w:rsidR="00610187" w:rsidRPr="00983EC8" w:rsidRDefault="00FC3F5F" w:rsidP="0007739F">
            <w:pPr>
              <w:pStyle w:val="af7"/>
            </w:pPr>
            <w:r w:rsidRPr="00983EC8">
              <w:t>-</w:t>
            </w:r>
            <w:r w:rsidR="00610187" w:rsidRPr="00983EC8">
              <w:t>Проведение капитального ремонта в многоквартирных домах района</w:t>
            </w:r>
          </w:p>
          <w:p w14:paraId="5C73EEDB" w14:textId="11B10F8C" w:rsidR="00610187" w:rsidRPr="00983EC8" w:rsidRDefault="00FC3F5F" w:rsidP="0007739F">
            <w:pPr>
              <w:pStyle w:val="af7"/>
            </w:pPr>
            <w:r w:rsidRPr="00983EC8">
              <w:t>-</w:t>
            </w:r>
            <w:r w:rsidR="00610187" w:rsidRPr="00983EC8">
              <w:t>Увеличение объемов жилищного строительства, в т.ч. реализация программ обеспечения социальным жильем, участие в региональных программах строительства жилья</w:t>
            </w:r>
          </w:p>
          <w:p w14:paraId="025D5948" w14:textId="50AE1BDD" w:rsidR="00610187" w:rsidRPr="00983EC8" w:rsidRDefault="00FC3F5F" w:rsidP="0007739F">
            <w:pPr>
              <w:pStyle w:val="af7"/>
            </w:pPr>
            <w:r w:rsidRPr="00983EC8">
              <w:t>-</w:t>
            </w:r>
            <w:r w:rsidR="00610187" w:rsidRPr="00983EC8">
              <w:t>Согласование документов территориального планирования с федеральными и региональными ведомствами в целях изменения границ населенных пунктов и категории земельных участков, необходимых для реализации проектов жилищного строительства</w:t>
            </w:r>
          </w:p>
          <w:p w14:paraId="62069BBC" w14:textId="426FDB5B" w:rsidR="00610187" w:rsidRPr="00983EC8" w:rsidRDefault="00FC3F5F" w:rsidP="0007739F">
            <w:pPr>
              <w:pStyle w:val="af7"/>
            </w:pPr>
            <w:r w:rsidRPr="00983EC8">
              <w:t>-</w:t>
            </w:r>
            <w:r w:rsidR="00610187" w:rsidRPr="00983EC8">
              <w:t>Повышение уровня благоустройства дворовых территорий и мест общего пользования</w:t>
            </w:r>
          </w:p>
        </w:tc>
        <w:tc>
          <w:tcPr>
            <w:tcW w:w="3641" w:type="dxa"/>
          </w:tcPr>
          <w:p w14:paraId="730C5698" w14:textId="583F0561" w:rsidR="00610187" w:rsidRPr="00983EC8" w:rsidRDefault="00FC3F5F" w:rsidP="0007739F">
            <w:pPr>
              <w:pStyle w:val="af7"/>
            </w:pPr>
            <w:r w:rsidRPr="00983EC8">
              <w:t>-</w:t>
            </w:r>
            <w:r w:rsidR="00610187" w:rsidRPr="00983EC8">
              <w:t>Рост затрат на содержание жилищного фонда</w:t>
            </w:r>
          </w:p>
          <w:p w14:paraId="4D1068B7" w14:textId="04BE337B" w:rsidR="00610187" w:rsidRPr="00983EC8" w:rsidRDefault="00FC3F5F" w:rsidP="0007739F">
            <w:pPr>
              <w:pStyle w:val="af7"/>
            </w:pPr>
            <w:r w:rsidRPr="00983EC8">
              <w:t>-</w:t>
            </w:r>
            <w:r w:rsidR="00610187" w:rsidRPr="00983EC8">
              <w:t>Увеличение удельного веса аварийного и ветхого жилья</w:t>
            </w:r>
          </w:p>
          <w:p w14:paraId="098E209B" w14:textId="0FC9B5FA" w:rsidR="00610187" w:rsidRPr="00983EC8" w:rsidRDefault="00FC3F5F" w:rsidP="0007739F">
            <w:pPr>
              <w:pStyle w:val="af7"/>
            </w:pPr>
            <w:r w:rsidRPr="00983EC8">
              <w:t>-</w:t>
            </w:r>
            <w:r w:rsidR="00610187" w:rsidRPr="00983EC8">
              <w:t>Недостаточный уровень жилищного строительства частными инвесторами</w:t>
            </w:r>
          </w:p>
          <w:p w14:paraId="63BD9DBF" w14:textId="4856E574" w:rsidR="00610187" w:rsidRPr="00983EC8" w:rsidRDefault="00FC3F5F" w:rsidP="0007739F">
            <w:pPr>
              <w:pStyle w:val="af7"/>
            </w:pPr>
            <w:r w:rsidRPr="00983EC8">
              <w:t>-</w:t>
            </w:r>
            <w:r w:rsidR="00610187" w:rsidRPr="00983EC8">
              <w:t>Отсутствие близких точек реализации дешевых строительных материалов</w:t>
            </w:r>
          </w:p>
          <w:p w14:paraId="236C3D1E" w14:textId="48AD5E5E" w:rsidR="00610187" w:rsidRPr="00983EC8" w:rsidRDefault="00FC3F5F" w:rsidP="0007739F">
            <w:pPr>
              <w:pStyle w:val="af7"/>
              <w:rPr>
                <w:color w:val="000000"/>
              </w:rPr>
            </w:pPr>
            <w:r w:rsidRPr="00983EC8">
              <w:t>-</w:t>
            </w:r>
            <w:r w:rsidR="00610187" w:rsidRPr="00983EC8">
              <w:t>Нехватка земельных участков для строительства многоквартирных жилых домов</w:t>
            </w:r>
          </w:p>
          <w:p w14:paraId="32915836" w14:textId="1C198346" w:rsidR="00610187" w:rsidRPr="00983EC8" w:rsidRDefault="00610187" w:rsidP="0007739F">
            <w:pPr>
              <w:pStyle w:val="af7"/>
            </w:pPr>
          </w:p>
        </w:tc>
      </w:tr>
      <w:tr w:rsidR="00610187" w:rsidRPr="00983EC8" w14:paraId="6DB187CF" w14:textId="77777777" w:rsidTr="004D6893">
        <w:trPr>
          <w:trHeight w:val="371"/>
        </w:trPr>
        <w:tc>
          <w:tcPr>
            <w:tcW w:w="14562" w:type="dxa"/>
            <w:gridSpan w:val="4"/>
          </w:tcPr>
          <w:p w14:paraId="38E2BE76" w14:textId="28EED8D6" w:rsidR="00610187" w:rsidRPr="0007739F" w:rsidRDefault="00610187" w:rsidP="0007739F">
            <w:pPr>
              <w:pStyle w:val="af7"/>
              <w:jc w:val="center"/>
              <w:rPr>
                <w:b/>
                <w:sz w:val="24"/>
              </w:rPr>
            </w:pPr>
            <w:r w:rsidRPr="0007739F">
              <w:rPr>
                <w:b/>
                <w:sz w:val="24"/>
              </w:rPr>
              <w:t>Транспорт и связь</w:t>
            </w:r>
          </w:p>
        </w:tc>
      </w:tr>
      <w:tr w:rsidR="00610187" w:rsidRPr="00983EC8" w14:paraId="6501DEF9" w14:textId="77777777" w:rsidTr="00F5223B">
        <w:trPr>
          <w:trHeight w:val="371"/>
        </w:trPr>
        <w:tc>
          <w:tcPr>
            <w:tcW w:w="3640" w:type="dxa"/>
          </w:tcPr>
          <w:p w14:paraId="4250C3C1" w14:textId="3E0A2413" w:rsidR="00610187" w:rsidRPr="00983EC8" w:rsidRDefault="00FC3F5F" w:rsidP="0007739F">
            <w:pPr>
              <w:pStyle w:val="af7"/>
            </w:pPr>
            <w:r w:rsidRPr="00983EC8">
              <w:t>-</w:t>
            </w:r>
            <w:r w:rsidR="00610187" w:rsidRPr="00983EC8">
              <w:t>Мультимодальность перевозок (автомобильным, ж/д, речным, воздушным и трубопроводным транспортом)</w:t>
            </w:r>
          </w:p>
          <w:p w14:paraId="39D66625" w14:textId="2616C445" w:rsidR="00610187" w:rsidRPr="00983EC8" w:rsidRDefault="00FC3F5F" w:rsidP="0007739F">
            <w:pPr>
              <w:pStyle w:val="af7"/>
            </w:pPr>
            <w:r w:rsidRPr="00983EC8">
              <w:t>-</w:t>
            </w:r>
            <w:r w:rsidR="00610187" w:rsidRPr="00983EC8">
              <w:t>Высокий уровень развития наземной транспортной сети и транспортной доступности от крупных городов округа</w:t>
            </w:r>
          </w:p>
          <w:p w14:paraId="403EE92E" w14:textId="52745CF6" w:rsidR="00610187" w:rsidRPr="00983EC8" w:rsidRDefault="00FC3F5F" w:rsidP="0007739F">
            <w:pPr>
              <w:pStyle w:val="af7"/>
            </w:pPr>
            <w:r w:rsidRPr="00983EC8">
              <w:t>-</w:t>
            </w:r>
            <w:r w:rsidR="00610187" w:rsidRPr="00983EC8">
              <w:t>Прохождение ж/д магистрали по территории района</w:t>
            </w:r>
          </w:p>
          <w:p w14:paraId="6202305A" w14:textId="551F37A9" w:rsidR="00610187" w:rsidRPr="00983EC8" w:rsidRDefault="00FC3F5F" w:rsidP="0007739F">
            <w:pPr>
              <w:pStyle w:val="af7"/>
            </w:pPr>
            <w:r w:rsidRPr="00983EC8">
              <w:t>-</w:t>
            </w:r>
            <w:r w:rsidR="00610187" w:rsidRPr="00983EC8">
              <w:t>Высокая доля автомобильных дорог общего пользования с твердым покрытием</w:t>
            </w:r>
          </w:p>
          <w:p w14:paraId="6D514306" w14:textId="29A7369F" w:rsidR="00610187" w:rsidRPr="00983EC8" w:rsidRDefault="00FC3F5F" w:rsidP="0007739F">
            <w:pPr>
              <w:pStyle w:val="af7"/>
            </w:pPr>
            <w:r w:rsidRPr="00983EC8">
              <w:t>-</w:t>
            </w:r>
            <w:r w:rsidR="00610187" w:rsidRPr="00983EC8">
              <w:t xml:space="preserve">Круглогодичное регулярное автобусное сообщение сельских населенных пунктов с </w:t>
            </w:r>
            <w:r w:rsidR="00610187" w:rsidRPr="00983EC8">
              <w:lastRenderedPageBreak/>
              <w:t>административным центром района</w:t>
            </w:r>
          </w:p>
          <w:p w14:paraId="6FDD9E4C" w14:textId="0EE73EA4" w:rsidR="00610187" w:rsidRPr="00983EC8" w:rsidRDefault="00FC3F5F" w:rsidP="0007739F">
            <w:pPr>
              <w:pStyle w:val="af7"/>
            </w:pPr>
            <w:r w:rsidRPr="00983EC8">
              <w:t>-</w:t>
            </w:r>
            <w:r w:rsidR="00610187" w:rsidRPr="00983EC8">
              <w:t>Регулярное автобусное сообщение с городами Сургут, Ханты-Мансийск, Тюмень</w:t>
            </w:r>
          </w:p>
          <w:p w14:paraId="4BA4FA06" w14:textId="585ADAFD" w:rsidR="00610187" w:rsidRPr="00983EC8" w:rsidRDefault="00FC3F5F" w:rsidP="0007739F">
            <w:pPr>
              <w:pStyle w:val="af7"/>
            </w:pPr>
            <w:r w:rsidRPr="00983EC8">
              <w:t>-</w:t>
            </w:r>
            <w:r w:rsidR="00610187" w:rsidRPr="00983EC8">
              <w:t>Высокий уровень конкуренции на рынке услуг связи</w:t>
            </w:r>
          </w:p>
          <w:p w14:paraId="456E5353" w14:textId="30900BB4" w:rsidR="00610187" w:rsidRPr="00983EC8" w:rsidRDefault="00FC3F5F" w:rsidP="0007739F">
            <w:pPr>
              <w:pStyle w:val="af7"/>
            </w:pPr>
            <w:r w:rsidRPr="00983EC8">
              <w:t>-</w:t>
            </w:r>
            <w:r w:rsidR="00610187" w:rsidRPr="00983EC8">
              <w:t>Доступ к сети Интернет во всех поселениях района, высокий уровень охвата телевизионным вещанием</w:t>
            </w:r>
          </w:p>
        </w:tc>
        <w:tc>
          <w:tcPr>
            <w:tcW w:w="3640" w:type="dxa"/>
          </w:tcPr>
          <w:p w14:paraId="2081D17E" w14:textId="211DD288" w:rsidR="00610187" w:rsidRPr="00983EC8" w:rsidRDefault="00FC3F5F" w:rsidP="0007739F">
            <w:pPr>
              <w:pStyle w:val="af7"/>
            </w:pPr>
            <w:r w:rsidRPr="00983EC8">
              <w:lastRenderedPageBreak/>
              <w:t>-</w:t>
            </w:r>
            <w:r w:rsidR="00610187" w:rsidRPr="00983EC8">
              <w:t>Низкая транспортная связность поселений района, обусловленная неразвитыми внутрирайонными экономическими связями</w:t>
            </w:r>
          </w:p>
          <w:p w14:paraId="28EF0BFC" w14:textId="10227297" w:rsidR="00610187" w:rsidRPr="00983EC8" w:rsidRDefault="00FC3F5F" w:rsidP="0007739F">
            <w:pPr>
              <w:pStyle w:val="af7"/>
            </w:pPr>
            <w:r w:rsidRPr="00983EC8">
              <w:t>-</w:t>
            </w:r>
            <w:r w:rsidR="00610187" w:rsidRPr="00983EC8">
              <w:t>Высокий уровень износа автобусного парка транспортных организаций, осуществляющих перевозки пассажиров</w:t>
            </w:r>
          </w:p>
          <w:p w14:paraId="347F7C3B" w14:textId="1492D3C4" w:rsidR="00610187" w:rsidRPr="00983EC8" w:rsidRDefault="00FC3F5F" w:rsidP="0007739F">
            <w:pPr>
              <w:pStyle w:val="af7"/>
            </w:pPr>
            <w:r w:rsidRPr="00983EC8">
              <w:t>-</w:t>
            </w:r>
            <w:r w:rsidR="00610187" w:rsidRPr="00983EC8">
              <w:t>Недостаточный уровень развития придорожной инфраструктуры (пунктов придорожного питания, автомобильных стоянок, станций ТО)</w:t>
            </w:r>
          </w:p>
        </w:tc>
        <w:tc>
          <w:tcPr>
            <w:tcW w:w="3641" w:type="dxa"/>
          </w:tcPr>
          <w:p w14:paraId="021BC3F9" w14:textId="5FD2AF90" w:rsidR="00610187" w:rsidRPr="00983EC8" w:rsidRDefault="00FC3F5F" w:rsidP="0007739F">
            <w:pPr>
              <w:pStyle w:val="af7"/>
            </w:pPr>
            <w:r w:rsidRPr="00983EC8">
              <w:t>-</w:t>
            </w:r>
            <w:r w:rsidR="00610187" w:rsidRPr="00983EC8">
              <w:t>Создание новых и модернизация существующих базовых объектов транспортной инфраструктуры муниципального значения</w:t>
            </w:r>
          </w:p>
          <w:p w14:paraId="63FF9F47" w14:textId="77777777" w:rsidR="00FC3F5F" w:rsidRPr="00983EC8" w:rsidRDefault="00FC3F5F" w:rsidP="0007739F">
            <w:pPr>
              <w:pStyle w:val="af7"/>
            </w:pPr>
            <w:r w:rsidRPr="00983EC8">
              <w:t>-</w:t>
            </w:r>
            <w:r w:rsidR="00610187" w:rsidRPr="00983EC8">
              <w:t>Развитие транспортно-логистического центра в целях увеличения объемов перевозок производимой продукции</w:t>
            </w:r>
          </w:p>
          <w:p w14:paraId="56F15C9B" w14:textId="4ED01FCD" w:rsidR="003E00D5" w:rsidRPr="00983EC8" w:rsidRDefault="00FC3F5F" w:rsidP="0007739F">
            <w:pPr>
              <w:pStyle w:val="af7"/>
              <w:rPr>
                <w:color w:val="000000"/>
              </w:rPr>
            </w:pPr>
            <w:r w:rsidRPr="00983EC8">
              <w:rPr>
                <w:color w:val="000000"/>
              </w:rPr>
              <w:t>-</w:t>
            </w:r>
            <w:r w:rsidR="003E00D5" w:rsidRPr="00983EC8">
              <w:t>Строительство новых железнодорожных линий ОАО «РЖД»</w:t>
            </w:r>
          </w:p>
          <w:p w14:paraId="45BB8BB3" w14:textId="2160D89C" w:rsidR="00610187" w:rsidRPr="00983EC8" w:rsidRDefault="00FC3F5F" w:rsidP="0007739F">
            <w:pPr>
              <w:pStyle w:val="af7"/>
            </w:pPr>
            <w:r w:rsidRPr="00983EC8">
              <w:t>-</w:t>
            </w:r>
            <w:r w:rsidR="00610187" w:rsidRPr="00983EC8">
              <w:t>Приведение в нормативное состояние автодорог общего пользования местного значения</w:t>
            </w:r>
          </w:p>
          <w:p w14:paraId="7D6CEC3A" w14:textId="1B62AA0C" w:rsidR="00610187" w:rsidRPr="00983EC8" w:rsidRDefault="00FC3F5F" w:rsidP="0007739F">
            <w:pPr>
              <w:pStyle w:val="af7"/>
            </w:pPr>
            <w:r w:rsidRPr="00983EC8">
              <w:t>-</w:t>
            </w:r>
            <w:r w:rsidR="00610187" w:rsidRPr="00983EC8">
              <w:t>Сокращение износа автобусного парка транспортных организаций, осуществляющих перевозки пассажиров</w:t>
            </w:r>
          </w:p>
          <w:p w14:paraId="22121AFF" w14:textId="33224BE0" w:rsidR="00610187" w:rsidRPr="00983EC8" w:rsidRDefault="00FC3F5F" w:rsidP="0007739F">
            <w:pPr>
              <w:pStyle w:val="af7"/>
            </w:pPr>
            <w:r w:rsidRPr="00983EC8">
              <w:lastRenderedPageBreak/>
              <w:t>-</w:t>
            </w:r>
            <w:r w:rsidR="00610187" w:rsidRPr="00983EC8">
              <w:t>Строительство волоконно-оптических линий связи, повышение качества предоставляемых услуг связи и скорости доступа в сеть Интернет</w:t>
            </w:r>
          </w:p>
          <w:p w14:paraId="0C154A41" w14:textId="45C5AF16" w:rsidR="00610187" w:rsidRPr="00983EC8" w:rsidRDefault="00FC3F5F" w:rsidP="0007739F">
            <w:pPr>
              <w:pStyle w:val="af7"/>
            </w:pPr>
            <w:r w:rsidRPr="00983EC8">
              <w:t>-</w:t>
            </w:r>
            <w:r w:rsidR="00610187" w:rsidRPr="00983EC8">
              <w:t>Развитие услуг электронного муниципалитета и информационных систем для населения</w:t>
            </w:r>
          </w:p>
          <w:p w14:paraId="19CDBE8D" w14:textId="3A67CCC9" w:rsidR="00610187" w:rsidRPr="00983EC8" w:rsidRDefault="00FC3F5F" w:rsidP="0007739F">
            <w:pPr>
              <w:pStyle w:val="af7"/>
            </w:pPr>
            <w:r w:rsidRPr="00983EC8">
              <w:t>-</w:t>
            </w:r>
            <w:r w:rsidR="00610187" w:rsidRPr="00983EC8">
              <w:t>Внедрение систем межведомственного электронного взаимодействия (СМЭВ) и автоматизированных информационных сис</w:t>
            </w:r>
            <w:r w:rsidR="001F60BF" w:rsidRPr="00983EC8">
              <w:t>тем</w:t>
            </w:r>
          </w:p>
        </w:tc>
        <w:tc>
          <w:tcPr>
            <w:tcW w:w="3641" w:type="dxa"/>
          </w:tcPr>
          <w:p w14:paraId="0513D5E8" w14:textId="1E9BAFF4" w:rsidR="00610187" w:rsidRPr="00983EC8" w:rsidRDefault="00FC3F5F" w:rsidP="0007739F">
            <w:pPr>
              <w:pStyle w:val="af7"/>
            </w:pPr>
            <w:r w:rsidRPr="00983EC8">
              <w:lastRenderedPageBreak/>
              <w:t>-</w:t>
            </w:r>
            <w:r w:rsidR="00610187" w:rsidRPr="00983EC8">
              <w:t>Возрастающие нагрузки на автомобильные дороги в связи с ростом интенсивности движения транспорта и увеличением в составе транспортного парка автомобилей большой грузоподъемностью</w:t>
            </w:r>
          </w:p>
        </w:tc>
      </w:tr>
      <w:tr w:rsidR="00610187" w:rsidRPr="00983EC8" w14:paraId="4CD1A703" w14:textId="77777777" w:rsidTr="00651AA7">
        <w:trPr>
          <w:trHeight w:val="400"/>
        </w:trPr>
        <w:tc>
          <w:tcPr>
            <w:tcW w:w="14562" w:type="dxa"/>
            <w:gridSpan w:val="4"/>
          </w:tcPr>
          <w:p w14:paraId="42A847A7" w14:textId="0D8B0295" w:rsidR="00610187" w:rsidRPr="0007739F" w:rsidRDefault="00610187" w:rsidP="0007739F">
            <w:pPr>
              <w:pStyle w:val="af7"/>
              <w:jc w:val="center"/>
              <w:rPr>
                <w:b/>
                <w:sz w:val="24"/>
              </w:rPr>
            </w:pPr>
            <w:r w:rsidRPr="0007739F">
              <w:rPr>
                <w:b/>
                <w:sz w:val="24"/>
              </w:rPr>
              <w:lastRenderedPageBreak/>
              <w:t>Экология и утилизация бытовых отходов</w:t>
            </w:r>
          </w:p>
        </w:tc>
      </w:tr>
      <w:tr w:rsidR="00610187" w:rsidRPr="00983EC8" w14:paraId="38E656A1" w14:textId="77777777" w:rsidTr="00F5223B">
        <w:trPr>
          <w:trHeight w:val="371"/>
        </w:trPr>
        <w:tc>
          <w:tcPr>
            <w:tcW w:w="3640" w:type="dxa"/>
          </w:tcPr>
          <w:p w14:paraId="0F157FA4" w14:textId="5FAEF07F" w:rsidR="00610187" w:rsidRPr="00983EC8" w:rsidRDefault="003E35C8" w:rsidP="0007739F">
            <w:pPr>
              <w:pStyle w:val="af7"/>
            </w:pPr>
            <w:r w:rsidRPr="00983EC8">
              <w:t>-</w:t>
            </w:r>
            <w:r w:rsidR="00610187" w:rsidRPr="00983EC8">
              <w:t>Наличие утвержденной схемы размещения отходов</w:t>
            </w:r>
          </w:p>
          <w:p w14:paraId="11CF85F9" w14:textId="554D2455" w:rsidR="00610187" w:rsidRPr="00983EC8" w:rsidRDefault="003E35C8" w:rsidP="0007739F">
            <w:pPr>
              <w:pStyle w:val="af7"/>
            </w:pPr>
            <w:r w:rsidRPr="00983EC8">
              <w:t>-</w:t>
            </w:r>
            <w:r w:rsidR="00610187" w:rsidRPr="00983EC8">
              <w:t>Централизованный вывоз ТБО</w:t>
            </w:r>
          </w:p>
        </w:tc>
        <w:tc>
          <w:tcPr>
            <w:tcW w:w="3640" w:type="dxa"/>
          </w:tcPr>
          <w:p w14:paraId="45209A88" w14:textId="0B77B5D0" w:rsidR="00610187" w:rsidRPr="00983EC8" w:rsidRDefault="003E35C8" w:rsidP="0007739F">
            <w:pPr>
              <w:pStyle w:val="af7"/>
            </w:pPr>
            <w:r w:rsidRPr="00983EC8">
              <w:t>-</w:t>
            </w:r>
            <w:r w:rsidR="00610187" w:rsidRPr="00983EC8">
              <w:t>Загрязнение атмосферного воздуха побочными продуктами сжигания попутного нефтяного газа на факелах, испарениями легких фракций углеводородов с поверхности аварийных разливов нефти и из резервуаров хранения нефти</w:t>
            </w:r>
          </w:p>
          <w:p w14:paraId="0165EBE3" w14:textId="0A869361" w:rsidR="00610187" w:rsidRPr="00983EC8" w:rsidRDefault="003E35C8" w:rsidP="0007739F">
            <w:pPr>
              <w:pStyle w:val="af7"/>
            </w:pPr>
            <w:r w:rsidRPr="00983EC8">
              <w:t>-</w:t>
            </w:r>
            <w:r w:rsidR="00610187" w:rsidRPr="00983EC8">
              <w:t>Повсеместное превышение установленных нормативов содержания железа, марганца, цинка и меди в поверхностных водах</w:t>
            </w:r>
          </w:p>
          <w:p w14:paraId="0FF1C9FB" w14:textId="67D0A729" w:rsidR="00610187" w:rsidRPr="00983EC8" w:rsidRDefault="003E35C8" w:rsidP="0007739F">
            <w:pPr>
              <w:pStyle w:val="af7"/>
            </w:pPr>
            <w:r w:rsidRPr="00983EC8">
              <w:t>-</w:t>
            </w:r>
            <w:r w:rsidR="00610187" w:rsidRPr="00983EC8">
              <w:t>Несанкционированное размещение ТБО</w:t>
            </w:r>
          </w:p>
          <w:p w14:paraId="6D737847" w14:textId="4AA9AF34" w:rsidR="00610187" w:rsidRPr="00983EC8" w:rsidRDefault="003E35C8" w:rsidP="0007739F">
            <w:pPr>
              <w:pStyle w:val="af7"/>
            </w:pPr>
            <w:r w:rsidRPr="00983EC8">
              <w:t>-</w:t>
            </w:r>
            <w:r w:rsidR="00610187" w:rsidRPr="00983EC8">
              <w:t>Несоответствие обустройства объектов размещения отходов требованиям природоохранного законодательства</w:t>
            </w:r>
          </w:p>
          <w:p w14:paraId="61535EAC" w14:textId="3B023C5D" w:rsidR="00610187" w:rsidRPr="00983EC8" w:rsidRDefault="003E35C8" w:rsidP="0007739F">
            <w:pPr>
              <w:pStyle w:val="af7"/>
            </w:pPr>
            <w:r w:rsidRPr="00983EC8">
              <w:t>-</w:t>
            </w:r>
            <w:r w:rsidR="00610187" w:rsidRPr="00983EC8">
              <w:t>Неполный охват жилых домов частного сектора договорами вывоза ТБО</w:t>
            </w:r>
          </w:p>
        </w:tc>
        <w:tc>
          <w:tcPr>
            <w:tcW w:w="3641" w:type="dxa"/>
          </w:tcPr>
          <w:p w14:paraId="5551A1AE" w14:textId="78B2CF80" w:rsidR="00610187" w:rsidRPr="00983EC8" w:rsidRDefault="003E35C8" w:rsidP="0007739F">
            <w:pPr>
              <w:pStyle w:val="af7"/>
            </w:pPr>
            <w:r w:rsidRPr="00983EC8">
              <w:t>-</w:t>
            </w:r>
            <w:r w:rsidR="00610187" w:rsidRPr="00983EC8">
              <w:t>Применение экологически чистых технологий в нефтедобывающем секторе и сфере ЖКХ</w:t>
            </w:r>
          </w:p>
          <w:p w14:paraId="57A5D36B" w14:textId="7ECF4B12" w:rsidR="00610187" w:rsidRPr="00983EC8" w:rsidRDefault="003E35C8" w:rsidP="0007739F">
            <w:pPr>
              <w:pStyle w:val="af7"/>
            </w:pPr>
            <w:r w:rsidRPr="00983EC8">
              <w:t>-</w:t>
            </w:r>
            <w:r w:rsidR="00610187" w:rsidRPr="00983EC8">
              <w:t>Проведение эколого-просветительской деятельности среди населения района</w:t>
            </w:r>
          </w:p>
          <w:p w14:paraId="5663D5AF" w14:textId="717FEF31" w:rsidR="00610187" w:rsidRPr="00983EC8" w:rsidRDefault="003E35C8" w:rsidP="0007739F">
            <w:pPr>
              <w:pStyle w:val="af7"/>
            </w:pPr>
            <w:r w:rsidRPr="00983EC8">
              <w:t>-</w:t>
            </w:r>
            <w:r w:rsidR="00610187" w:rsidRPr="00983EC8">
              <w:t>Организация раздельного сбора отходов в поселениях района</w:t>
            </w:r>
          </w:p>
        </w:tc>
        <w:tc>
          <w:tcPr>
            <w:tcW w:w="3641" w:type="dxa"/>
          </w:tcPr>
          <w:p w14:paraId="34B1BCE5" w14:textId="54081C2B" w:rsidR="00610187" w:rsidRPr="00983EC8" w:rsidRDefault="003E35C8" w:rsidP="0007739F">
            <w:pPr>
              <w:pStyle w:val="af7"/>
            </w:pPr>
            <w:r w:rsidRPr="00983EC8">
              <w:t>-</w:t>
            </w:r>
            <w:r w:rsidR="00610187" w:rsidRPr="00983EC8">
              <w:t>Сокращение платежей предприятий за негативное воздействие на окружающую среду</w:t>
            </w:r>
          </w:p>
          <w:p w14:paraId="166D96DA" w14:textId="562D70B7" w:rsidR="00610187" w:rsidRPr="00983EC8" w:rsidRDefault="003E35C8" w:rsidP="0007739F">
            <w:pPr>
              <w:pStyle w:val="af7"/>
            </w:pPr>
            <w:r w:rsidRPr="00983EC8">
              <w:t>-</w:t>
            </w:r>
            <w:r w:rsidR="00610187" w:rsidRPr="00983EC8">
              <w:t>Рост текущих затрат на охрану окружающей среды</w:t>
            </w:r>
          </w:p>
          <w:p w14:paraId="59F1AC87" w14:textId="284A072E" w:rsidR="00610187" w:rsidRPr="00983EC8" w:rsidRDefault="003E35C8" w:rsidP="0007739F">
            <w:pPr>
              <w:pStyle w:val="af7"/>
            </w:pPr>
            <w:r w:rsidRPr="00983EC8">
              <w:t>-</w:t>
            </w:r>
            <w:r w:rsidR="00610187" w:rsidRPr="00983EC8">
              <w:t>Невыполнение работ по рекультивации закрытых свалок на территории района</w:t>
            </w:r>
          </w:p>
          <w:p w14:paraId="4F097550" w14:textId="11D85D1E" w:rsidR="00610187" w:rsidRPr="00983EC8" w:rsidRDefault="00610187" w:rsidP="0007739F">
            <w:pPr>
              <w:pStyle w:val="af7"/>
            </w:pPr>
          </w:p>
        </w:tc>
      </w:tr>
    </w:tbl>
    <w:p w14:paraId="7175F9CE" w14:textId="6DD583BD" w:rsidR="00D35E0D" w:rsidRPr="00A000E2" w:rsidRDefault="00D35E0D" w:rsidP="00A93D7F"/>
    <w:sectPr w:rsidR="00D35E0D" w:rsidRPr="00A000E2" w:rsidSect="00B63B94">
      <w:pgSz w:w="16840" w:h="11900"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C633D" w14:textId="77777777" w:rsidR="00E67B48" w:rsidRDefault="00E67B48" w:rsidP="00A93D7F">
      <w:r>
        <w:separator/>
      </w:r>
    </w:p>
  </w:endnote>
  <w:endnote w:type="continuationSeparator" w:id="0">
    <w:p w14:paraId="4F4D5D89" w14:textId="77777777" w:rsidR="00E67B48" w:rsidRDefault="00E67B48" w:rsidP="00A9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700B" w14:textId="77777777" w:rsidR="008A0C58" w:rsidRDefault="008A0C58" w:rsidP="00A93D7F">
    <w:pPr>
      <w:pStyle w:val="a5"/>
      <w:rPr>
        <w:rStyle w:val="a7"/>
      </w:rPr>
    </w:pPr>
    <w:r>
      <w:rPr>
        <w:rStyle w:val="a7"/>
      </w:rPr>
      <w:fldChar w:fldCharType="begin"/>
    </w:r>
    <w:r>
      <w:rPr>
        <w:rStyle w:val="a7"/>
      </w:rPr>
      <w:instrText xml:space="preserve">PAGE  </w:instrText>
    </w:r>
    <w:r>
      <w:rPr>
        <w:rStyle w:val="a7"/>
      </w:rPr>
      <w:fldChar w:fldCharType="end"/>
    </w:r>
  </w:p>
  <w:p w14:paraId="475876B9" w14:textId="3EA0B899" w:rsidR="008A0C58" w:rsidRDefault="008A0C58" w:rsidP="00A93D7F">
    <w:pPr>
      <w:pStyle w:val="a5"/>
      <w:rPr>
        <w:rStyle w:val="a7"/>
      </w:rPr>
    </w:pPr>
  </w:p>
  <w:p w14:paraId="079702F0" w14:textId="77777777" w:rsidR="008A0C58" w:rsidRDefault="008A0C58" w:rsidP="00A93D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96B7E" w14:textId="77777777" w:rsidR="008A0C58" w:rsidRDefault="008A0C58" w:rsidP="00A93D7F">
    <w:pPr>
      <w:pStyle w:val="a5"/>
      <w:rPr>
        <w:rStyle w:val="a7"/>
      </w:rPr>
    </w:pPr>
    <w:r>
      <w:rPr>
        <w:rStyle w:val="a7"/>
      </w:rPr>
      <w:fldChar w:fldCharType="begin"/>
    </w:r>
    <w:r>
      <w:rPr>
        <w:rStyle w:val="a7"/>
      </w:rPr>
      <w:instrText xml:space="preserve">PAGE  </w:instrText>
    </w:r>
    <w:r>
      <w:rPr>
        <w:rStyle w:val="a7"/>
      </w:rPr>
      <w:fldChar w:fldCharType="separate"/>
    </w:r>
    <w:r w:rsidR="006629A4">
      <w:rPr>
        <w:rStyle w:val="a7"/>
        <w:noProof/>
      </w:rPr>
      <w:t>66</w:t>
    </w:r>
    <w:r>
      <w:rPr>
        <w:rStyle w:val="a7"/>
      </w:rPr>
      <w:fldChar w:fldCharType="end"/>
    </w:r>
  </w:p>
  <w:p w14:paraId="548183C9" w14:textId="33EE239F" w:rsidR="008A0C58" w:rsidRDefault="008A0C58" w:rsidP="00A93D7F">
    <w:pPr>
      <w:pStyle w:val="a5"/>
      <w:rPr>
        <w:rStyle w:val="a7"/>
      </w:rPr>
    </w:pPr>
  </w:p>
  <w:p w14:paraId="59ACC800" w14:textId="77777777" w:rsidR="008A0C58" w:rsidRDefault="008A0C58" w:rsidP="00A93D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6646" w14:textId="77777777" w:rsidR="008A0C58" w:rsidRDefault="008A0C58" w:rsidP="00A93D7F">
    <w:pPr>
      <w:pStyle w:val="a5"/>
      <w:rPr>
        <w:rStyle w:val="a7"/>
      </w:rPr>
    </w:pPr>
    <w:r>
      <w:rPr>
        <w:rStyle w:val="a7"/>
      </w:rPr>
      <w:fldChar w:fldCharType="begin"/>
    </w:r>
    <w:r>
      <w:rPr>
        <w:rStyle w:val="a7"/>
      </w:rPr>
      <w:instrText xml:space="preserve">PAGE  </w:instrText>
    </w:r>
    <w:r>
      <w:rPr>
        <w:rStyle w:val="a7"/>
      </w:rPr>
      <w:fldChar w:fldCharType="end"/>
    </w:r>
  </w:p>
  <w:p w14:paraId="487277B3" w14:textId="77777777" w:rsidR="008A0C58" w:rsidRDefault="008A0C58" w:rsidP="00A93D7F">
    <w:pPr>
      <w:pStyle w:val="a5"/>
      <w:rPr>
        <w:rStyle w:val="a7"/>
      </w:rPr>
    </w:pPr>
  </w:p>
  <w:p w14:paraId="6A66F9EC" w14:textId="77777777" w:rsidR="008A0C58" w:rsidRDefault="008A0C58" w:rsidP="00A93D7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B2FD3" w14:textId="77777777" w:rsidR="008A0C58" w:rsidRDefault="008A0C58" w:rsidP="00A93D7F">
    <w:pPr>
      <w:pStyle w:val="a5"/>
      <w:rPr>
        <w:rStyle w:val="a7"/>
      </w:rPr>
    </w:pPr>
    <w:r>
      <w:rPr>
        <w:rStyle w:val="a7"/>
      </w:rPr>
      <w:fldChar w:fldCharType="begin"/>
    </w:r>
    <w:r>
      <w:rPr>
        <w:rStyle w:val="a7"/>
      </w:rPr>
      <w:instrText xml:space="preserve">PAGE  </w:instrText>
    </w:r>
    <w:r>
      <w:rPr>
        <w:rStyle w:val="a7"/>
      </w:rPr>
      <w:fldChar w:fldCharType="separate"/>
    </w:r>
    <w:r w:rsidR="006629A4">
      <w:rPr>
        <w:rStyle w:val="a7"/>
        <w:noProof/>
      </w:rPr>
      <w:t>108</w:t>
    </w:r>
    <w:r>
      <w:rPr>
        <w:rStyle w:val="a7"/>
      </w:rPr>
      <w:fldChar w:fldCharType="end"/>
    </w:r>
  </w:p>
  <w:p w14:paraId="6E26B3CD" w14:textId="77777777" w:rsidR="008A0C58" w:rsidRDefault="008A0C58" w:rsidP="00A93D7F">
    <w:pPr>
      <w:pStyle w:val="a5"/>
      <w:rPr>
        <w:rStyle w:val="a7"/>
      </w:rPr>
    </w:pPr>
  </w:p>
  <w:p w14:paraId="5DCCACF1" w14:textId="77777777" w:rsidR="008A0C58" w:rsidRDefault="008A0C58" w:rsidP="00A93D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CBFEE" w14:textId="77777777" w:rsidR="00E67B48" w:rsidRDefault="00E67B48" w:rsidP="00A93D7F">
      <w:r>
        <w:separator/>
      </w:r>
    </w:p>
  </w:footnote>
  <w:footnote w:type="continuationSeparator" w:id="0">
    <w:p w14:paraId="41C049C0" w14:textId="77777777" w:rsidR="00E67B48" w:rsidRDefault="00E67B48" w:rsidP="00A93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750"/>
    <w:multiLevelType w:val="hybridMultilevel"/>
    <w:tmpl w:val="29980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5D38B1"/>
    <w:multiLevelType w:val="hybridMultilevel"/>
    <w:tmpl w:val="1DE2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52866"/>
    <w:multiLevelType w:val="hybridMultilevel"/>
    <w:tmpl w:val="F0F8FE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9018A8"/>
    <w:multiLevelType w:val="hybridMultilevel"/>
    <w:tmpl w:val="37AC4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9D7145"/>
    <w:multiLevelType w:val="hybridMultilevel"/>
    <w:tmpl w:val="7D083F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6AD50E3"/>
    <w:multiLevelType w:val="hybridMultilevel"/>
    <w:tmpl w:val="9B7EE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5B4930"/>
    <w:multiLevelType w:val="hybridMultilevel"/>
    <w:tmpl w:val="E7C4D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7B54F7"/>
    <w:multiLevelType w:val="hybridMultilevel"/>
    <w:tmpl w:val="B1803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962893"/>
    <w:multiLevelType w:val="hybridMultilevel"/>
    <w:tmpl w:val="A768C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FD7A51"/>
    <w:multiLevelType w:val="hybridMultilevel"/>
    <w:tmpl w:val="A8DA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3B26C6"/>
    <w:multiLevelType w:val="hybridMultilevel"/>
    <w:tmpl w:val="4844A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962FBF"/>
    <w:multiLevelType w:val="multilevel"/>
    <w:tmpl w:val="3252FE16"/>
    <w:lvl w:ilvl="0">
      <w:start w:val="1"/>
      <w:numFmt w:val="decimal"/>
      <w:pStyle w:val="1"/>
      <w:lvlText w:val="%1."/>
      <w:lvlJc w:val="left"/>
      <w:pPr>
        <w:ind w:left="720" w:hanging="360"/>
      </w:pPr>
      <w:rPr>
        <w:rFonts w:hint="default"/>
      </w:rPr>
    </w:lvl>
    <w:lvl w:ilvl="1">
      <w:start w:val="1"/>
      <w:numFmt w:val="decimal"/>
      <w:pStyle w:val="2"/>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30722E8"/>
    <w:multiLevelType w:val="hybridMultilevel"/>
    <w:tmpl w:val="8CA89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1D6251"/>
    <w:multiLevelType w:val="hybridMultilevel"/>
    <w:tmpl w:val="25D4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36129BA"/>
    <w:multiLevelType w:val="hybridMultilevel"/>
    <w:tmpl w:val="F8F20FA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56D3BE6"/>
    <w:multiLevelType w:val="hybridMultilevel"/>
    <w:tmpl w:val="38D21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2479DA"/>
    <w:multiLevelType w:val="hybridMultilevel"/>
    <w:tmpl w:val="D1AE8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2268A6"/>
    <w:multiLevelType w:val="hybridMultilevel"/>
    <w:tmpl w:val="F894C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923120B"/>
    <w:multiLevelType w:val="hybridMultilevel"/>
    <w:tmpl w:val="DC38C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346E58"/>
    <w:multiLevelType w:val="hybridMultilevel"/>
    <w:tmpl w:val="EEDE7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CF6B75"/>
    <w:multiLevelType w:val="hybridMultilevel"/>
    <w:tmpl w:val="5AF60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DF4200"/>
    <w:multiLevelType w:val="hybridMultilevel"/>
    <w:tmpl w:val="86BA2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003BBD"/>
    <w:multiLevelType w:val="hybridMultilevel"/>
    <w:tmpl w:val="14185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1A02902"/>
    <w:multiLevelType w:val="hybridMultilevel"/>
    <w:tmpl w:val="DBEC69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BB0433"/>
    <w:multiLevelType w:val="hybridMultilevel"/>
    <w:tmpl w:val="AA121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7BA3BDE"/>
    <w:multiLevelType w:val="hybridMultilevel"/>
    <w:tmpl w:val="C5C82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776380"/>
    <w:multiLevelType w:val="hybridMultilevel"/>
    <w:tmpl w:val="D368B3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B0E046C"/>
    <w:multiLevelType w:val="hybridMultilevel"/>
    <w:tmpl w:val="C108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A737A5"/>
    <w:multiLevelType w:val="hybridMultilevel"/>
    <w:tmpl w:val="024C9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232A5E"/>
    <w:multiLevelType w:val="hybridMultilevel"/>
    <w:tmpl w:val="20801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6C2248"/>
    <w:multiLevelType w:val="hybridMultilevel"/>
    <w:tmpl w:val="DC066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12A52A6"/>
    <w:multiLevelType w:val="hybridMultilevel"/>
    <w:tmpl w:val="C7E654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32CA30CC"/>
    <w:multiLevelType w:val="hybridMultilevel"/>
    <w:tmpl w:val="5B9CE8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3A45811"/>
    <w:multiLevelType w:val="hybridMultilevel"/>
    <w:tmpl w:val="9EE07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3AE5090"/>
    <w:multiLevelType w:val="hybridMultilevel"/>
    <w:tmpl w:val="B2F87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4015355"/>
    <w:multiLevelType w:val="hybridMultilevel"/>
    <w:tmpl w:val="3E56D1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57B778A"/>
    <w:multiLevelType w:val="hybridMultilevel"/>
    <w:tmpl w:val="79CE5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5F362D8"/>
    <w:multiLevelType w:val="hybridMultilevel"/>
    <w:tmpl w:val="AC408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9C20280"/>
    <w:multiLevelType w:val="hybridMultilevel"/>
    <w:tmpl w:val="276E1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9CA3B1C"/>
    <w:multiLevelType w:val="hybridMultilevel"/>
    <w:tmpl w:val="AD32D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BBE2F54"/>
    <w:multiLevelType w:val="hybridMultilevel"/>
    <w:tmpl w:val="B4501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0BE764C"/>
    <w:multiLevelType w:val="hybridMultilevel"/>
    <w:tmpl w:val="16562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12C6B1D"/>
    <w:multiLevelType w:val="hybridMultilevel"/>
    <w:tmpl w:val="21EA8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CE3B4B"/>
    <w:multiLevelType w:val="hybridMultilevel"/>
    <w:tmpl w:val="F24E1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2B85AA6"/>
    <w:multiLevelType w:val="hybridMultilevel"/>
    <w:tmpl w:val="B3BA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2E34F23"/>
    <w:multiLevelType w:val="hybridMultilevel"/>
    <w:tmpl w:val="4CC46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2EB7F86"/>
    <w:multiLevelType w:val="hybridMultilevel"/>
    <w:tmpl w:val="F8B84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8440A94"/>
    <w:multiLevelType w:val="hybridMultilevel"/>
    <w:tmpl w:val="0A606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8925F39"/>
    <w:multiLevelType w:val="hybridMultilevel"/>
    <w:tmpl w:val="B694C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8B05BBB"/>
    <w:multiLevelType w:val="hybridMultilevel"/>
    <w:tmpl w:val="C48CA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8B20869"/>
    <w:multiLevelType w:val="hybridMultilevel"/>
    <w:tmpl w:val="C622C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D547BE"/>
    <w:multiLevelType w:val="hybridMultilevel"/>
    <w:tmpl w:val="277AD3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4A8F1304"/>
    <w:multiLevelType w:val="hybridMultilevel"/>
    <w:tmpl w:val="7D0A53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28745D8"/>
    <w:multiLevelType w:val="hybridMultilevel"/>
    <w:tmpl w:val="4614D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535C43FE"/>
    <w:multiLevelType w:val="hybridMultilevel"/>
    <w:tmpl w:val="45CC0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1562EF"/>
    <w:multiLevelType w:val="hybridMultilevel"/>
    <w:tmpl w:val="719CD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4ED517C"/>
    <w:multiLevelType w:val="hybridMultilevel"/>
    <w:tmpl w:val="88A45F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58355CF"/>
    <w:multiLevelType w:val="hybridMultilevel"/>
    <w:tmpl w:val="50DA3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9CF2135"/>
    <w:multiLevelType w:val="hybridMultilevel"/>
    <w:tmpl w:val="53484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A692E6D"/>
    <w:multiLevelType w:val="hybridMultilevel"/>
    <w:tmpl w:val="880E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C877DA0"/>
    <w:multiLevelType w:val="hybridMultilevel"/>
    <w:tmpl w:val="87401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D8E577B"/>
    <w:multiLevelType w:val="hybridMultilevel"/>
    <w:tmpl w:val="B4C46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E3E2F30"/>
    <w:multiLevelType w:val="hybridMultilevel"/>
    <w:tmpl w:val="218A2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EC1553A"/>
    <w:multiLevelType w:val="hybridMultilevel"/>
    <w:tmpl w:val="B4A24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EDA297F"/>
    <w:multiLevelType w:val="hybridMultilevel"/>
    <w:tmpl w:val="6650A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F4D5B76"/>
    <w:multiLevelType w:val="hybridMultilevel"/>
    <w:tmpl w:val="306E3D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605B4902"/>
    <w:multiLevelType w:val="hybridMultilevel"/>
    <w:tmpl w:val="3ED85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1820C9C"/>
    <w:multiLevelType w:val="hybridMultilevel"/>
    <w:tmpl w:val="F6F82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3A6309E"/>
    <w:multiLevelType w:val="hybridMultilevel"/>
    <w:tmpl w:val="BCA8EA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pStyle w:val="S4"/>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63FE5430"/>
    <w:multiLevelType w:val="hybridMultilevel"/>
    <w:tmpl w:val="DC82E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65D60355"/>
    <w:multiLevelType w:val="hybridMultilevel"/>
    <w:tmpl w:val="7212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63A02E6"/>
    <w:multiLevelType w:val="hybridMultilevel"/>
    <w:tmpl w:val="BD888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6E35F13"/>
    <w:multiLevelType w:val="hybridMultilevel"/>
    <w:tmpl w:val="421ED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6F64501"/>
    <w:multiLevelType w:val="hybridMultilevel"/>
    <w:tmpl w:val="182A4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9CC7EFE"/>
    <w:multiLevelType w:val="hybridMultilevel"/>
    <w:tmpl w:val="6532A2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A8C450F"/>
    <w:multiLevelType w:val="hybridMultilevel"/>
    <w:tmpl w:val="0AB6462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C3E49EE"/>
    <w:multiLevelType w:val="hybridMultilevel"/>
    <w:tmpl w:val="D9007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DA366B5"/>
    <w:multiLevelType w:val="hybridMultilevel"/>
    <w:tmpl w:val="DDA6A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DC446E3"/>
    <w:multiLevelType w:val="hybridMultilevel"/>
    <w:tmpl w:val="47563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DF34F2B"/>
    <w:multiLevelType w:val="hybridMultilevel"/>
    <w:tmpl w:val="CAFA9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E963A34"/>
    <w:multiLevelType w:val="hybridMultilevel"/>
    <w:tmpl w:val="57A4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2AE4A2A"/>
    <w:multiLevelType w:val="hybridMultilevel"/>
    <w:tmpl w:val="D4369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2C37BC3"/>
    <w:multiLevelType w:val="hybridMultilevel"/>
    <w:tmpl w:val="7F265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2F578F7"/>
    <w:multiLevelType w:val="hybridMultilevel"/>
    <w:tmpl w:val="BA58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3722ABB"/>
    <w:multiLevelType w:val="hybridMultilevel"/>
    <w:tmpl w:val="0D828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4E5516E"/>
    <w:multiLevelType w:val="hybridMultilevel"/>
    <w:tmpl w:val="54B62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57F6939"/>
    <w:multiLevelType w:val="hybridMultilevel"/>
    <w:tmpl w:val="E16EB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780E0A06"/>
    <w:multiLevelType w:val="hybridMultilevel"/>
    <w:tmpl w:val="85187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90455F2"/>
    <w:multiLevelType w:val="hybridMultilevel"/>
    <w:tmpl w:val="AB2426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79D24D96"/>
    <w:multiLevelType w:val="hybridMultilevel"/>
    <w:tmpl w:val="85B04A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79D82DB0"/>
    <w:multiLevelType w:val="hybridMultilevel"/>
    <w:tmpl w:val="C7882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D4A5D2F"/>
    <w:multiLevelType w:val="hybridMultilevel"/>
    <w:tmpl w:val="40CE7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D864E8E"/>
    <w:multiLevelType w:val="hybridMultilevel"/>
    <w:tmpl w:val="B9CA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F7E6A67"/>
    <w:multiLevelType w:val="hybridMultilevel"/>
    <w:tmpl w:val="34C82D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FB46FEC"/>
    <w:multiLevelType w:val="hybridMultilevel"/>
    <w:tmpl w:val="F2C4C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4"/>
  </w:num>
  <w:num w:numId="3">
    <w:abstractNumId w:val="40"/>
  </w:num>
  <w:num w:numId="4">
    <w:abstractNumId w:val="44"/>
  </w:num>
  <w:num w:numId="5">
    <w:abstractNumId w:val="68"/>
  </w:num>
  <w:num w:numId="6">
    <w:abstractNumId w:val="48"/>
  </w:num>
  <w:num w:numId="7">
    <w:abstractNumId w:val="46"/>
  </w:num>
  <w:num w:numId="8">
    <w:abstractNumId w:val="0"/>
  </w:num>
  <w:num w:numId="9">
    <w:abstractNumId w:val="73"/>
  </w:num>
  <w:num w:numId="10">
    <w:abstractNumId w:val="70"/>
  </w:num>
  <w:num w:numId="11">
    <w:abstractNumId w:val="27"/>
  </w:num>
  <w:num w:numId="12">
    <w:abstractNumId w:val="9"/>
  </w:num>
  <w:num w:numId="13">
    <w:abstractNumId w:val="59"/>
  </w:num>
  <w:num w:numId="14">
    <w:abstractNumId w:val="14"/>
  </w:num>
  <w:num w:numId="15">
    <w:abstractNumId w:val="83"/>
  </w:num>
  <w:num w:numId="16">
    <w:abstractNumId w:val="20"/>
  </w:num>
  <w:num w:numId="17">
    <w:abstractNumId w:val="45"/>
  </w:num>
  <w:num w:numId="18">
    <w:abstractNumId w:val="75"/>
  </w:num>
  <w:num w:numId="19">
    <w:abstractNumId w:val="26"/>
  </w:num>
  <w:num w:numId="20">
    <w:abstractNumId w:val="8"/>
  </w:num>
  <w:num w:numId="21">
    <w:abstractNumId w:val="55"/>
  </w:num>
  <w:num w:numId="22">
    <w:abstractNumId w:val="12"/>
  </w:num>
  <w:num w:numId="23">
    <w:abstractNumId w:val="25"/>
  </w:num>
  <w:num w:numId="24">
    <w:abstractNumId w:val="79"/>
  </w:num>
  <w:num w:numId="25">
    <w:abstractNumId w:val="22"/>
  </w:num>
  <w:num w:numId="26">
    <w:abstractNumId w:val="49"/>
  </w:num>
  <w:num w:numId="27">
    <w:abstractNumId w:val="37"/>
  </w:num>
  <w:num w:numId="28">
    <w:abstractNumId w:val="77"/>
  </w:num>
  <w:num w:numId="29">
    <w:abstractNumId w:val="90"/>
  </w:num>
  <w:num w:numId="30">
    <w:abstractNumId w:val="42"/>
  </w:num>
  <w:num w:numId="31">
    <w:abstractNumId w:val="58"/>
  </w:num>
  <w:num w:numId="32">
    <w:abstractNumId w:val="32"/>
  </w:num>
  <w:num w:numId="33">
    <w:abstractNumId w:val="35"/>
  </w:num>
  <w:num w:numId="34">
    <w:abstractNumId w:val="13"/>
  </w:num>
  <w:num w:numId="35">
    <w:abstractNumId w:val="61"/>
  </w:num>
  <w:num w:numId="36">
    <w:abstractNumId w:val="54"/>
  </w:num>
  <w:num w:numId="37">
    <w:abstractNumId w:val="33"/>
  </w:num>
  <w:num w:numId="38">
    <w:abstractNumId w:val="6"/>
  </w:num>
  <w:num w:numId="39">
    <w:abstractNumId w:val="57"/>
  </w:num>
  <w:num w:numId="40">
    <w:abstractNumId w:val="56"/>
  </w:num>
  <w:num w:numId="41">
    <w:abstractNumId w:val="87"/>
  </w:num>
  <w:num w:numId="42">
    <w:abstractNumId w:val="3"/>
  </w:num>
  <w:num w:numId="43">
    <w:abstractNumId w:val="7"/>
  </w:num>
  <w:num w:numId="44">
    <w:abstractNumId w:val="93"/>
  </w:num>
  <w:num w:numId="45">
    <w:abstractNumId w:val="92"/>
  </w:num>
  <w:num w:numId="46">
    <w:abstractNumId w:val="1"/>
  </w:num>
  <w:num w:numId="47">
    <w:abstractNumId w:val="85"/>
  </w:num>
  <w:num w:numId="48">
    <w:abstractNumId w:val="81"/>
  </w:num>
  <w:num w:numId="49">
    <w:abstractNumId w:val="16"/>
  </w:num>
  <w:num w:numId="50">
    <w:abstractNumId w:val="29"/>
  </w:num>
  <w:num w:numId="51">
    <w:abstractNumId w:val="21"/>
  </w:num>
  <w:num w:numId="52">
    <w:abstractNumId w:val="64"/>
  </w:num>
  <w:num w:numId="53">
    <w:abstractNumId w:val="52"/>
  </w:num>
  <w:num w:numId="54">
    <w:abstractNumId w:val="10"/>
  </w:num>
  <w:num w:numId="55">
    <w:abstractNumId w:val="74"/>
  </w:num>
  <w:num w:numId="56">
    <w:abstractNumId w:val="34"/>
  </w:num>
  <w:num w:numId="57">
    <w:abstractNumId w:val="4"/>
  </w:num>
  <w:num w:numId="58">
    <w:abstractNumId w:val="72"/>
  </w:num>
  <w:num w:numId="59">
    <w:abstractNumId w:val="67"/>
  </w:num>
  <w:num w:numId="60">
    <w:abstractNumId w:val="76"/>
  </w:num>
  <w:num w:numId="61">
    <w:abstractNumId w:val="62"/>
  </w:num>
  <w:num w:numId="62">
    <w:abstractNumId w:val="5"/>
  </w:num>
  <w:num w:numId="63">
    <w:abstractNumId w:val="71"/>
  </w:num>
  <w:num w:numId="64">
    <w:abstractNumId w:val="63"/>
  </w:num>
  <w:num w:numId="65">
    <w:abstractNumId w:val="17"/>
  </w:num>
  <w:num w:numId="66">
    <w:abstractNumId w:val="47"/>
  </w:num>
  <w:num w:numId="67">
    <w:abstractNumId w:val="82"/>
  </w:num>
  <w:num w:numId="68">
    <w:abstractNumId w:val="41"/>
  </w:num>
  <w:num w:numId="69">
    <w:abstractNumId w:val="28"/>
  </w:num>
  <w:num w:numId="70">
    <w:abstractNumId w:val="43"/>
  </w:num>
  <w:num w:numId="71">
    <w:abstractNumId w:val="30"/>
  </w:num>
  <w:num w:numId="72">
    <w:abstractNumId w:val="39"/>
  </w:num>
  <w:num w:numId="73">
    <w:abstractNumId w:val="60"/>
  </w:num>
  <w:num w:numId="74">
    <w:abstractNumId w:val="38"/>
  </w:num>
  <w:num w:numId="75">
    <w:abstractNumId w:val="88"/>
  </w:num>
  <w:num w:numId="76">
    <w:abstractNumId w:val="80"/>
  </w:num>
  <w:num w:numId="77">
    <w:abstractNumId w:val="66"/>
  </w:num>
  <w:num w:numId="78">
    <w:abstractNumId w:val="19"/>
  </w:num>
  <w:num w:numId="79">
    <w:abstractNumId w:val="15"/>
  </w:num>
  <w:num w:numId="80">
    <w:abstractNumId w:val="94"/>
  </w:num>
  <w:num w:numId="81">
    <w:abstractNumId w:val="78"/>
  </w:num>
  <w:num w:numId="82">
    <w:abstractNumId w:val="36"/>
  </w:num>
  <w:num w:numId="83">
    <w:abstractNumId w:val="24"/>
  </w:num>
  <w:num w:numId="84">
    <w:abstractNumId w:val="18"/>
  </w:num>
  <w:num w:numId="85">
    <w:abstractNumId w:val="91"/>
  </w:num>
  <w:num w:numId="86">
    <w:abstractNumId w:val="2"/>
  </w:num>
  <w:num w:numId="87">
    <w:abstractNumId w:val="53"/>
  </w:num>
  <w:num w:numId="88">
    <w:abstractNumId w:val="51"/>
  </w:num>
  <w:num w:numId="89">
    <w:abstractNumId w:val="31"/>
  </w:num>
  <w:num w:numId="90">
    <w:abstractNumId w:val="89"/>
  </w:num>
  <w:num w:numId="91">
    <w:abstractNumId w:val="65"/>
  </w:num>
  <w:num w:numId="92">
    <w:abstractNumId w:val="86"/>
  </w:num>
  <w:num w:numId="93">
    <w:abstractNumId w:val="69"/>
  </w:num>
  <w:num w:numId="94">
    <w:abstractNumId w:val="50"/>
  </w:num>
  <w:num w:numId="95">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9F"/>
    <w:rsid w:val="000001DB"/>
    <w:rsid w:val="0000083C"/>
    <w:rsid w:val="00001B90"/>
    <w:rsid w:val="000044F2"/>
    <w:rsid w:val="000050F9"/>
    <w:rsid w:val="000075EA"/>
    <w:rsid w:val="00007D7A"/>
    <w:rsid w:val="00011563"/>
    <w:rsid w:val="0001263E"/>
    <w:rsid w:val="0001493B"/>
    <w:rsid w:val="00014C1F"/>
    <w:rsid w:val="00015B8F"/>
    <w:rsid w:val="00016FAE"/>
    <w:rsid w:val="000172ED"/>
    <w:rsid w:val="00017396"/>
    <w:rsid w:val="00017474"/>
    <w:rsid w:val="00021640"/>
    <w:rsid w:val="00026195"/>
    <w:rsid w:val="000268E7"/>
    <w:rsid w:val="00026A52"/>
    <w:rsid w:val="00026CE0"/>
    <w:rsid w:val="00026E61"/>
    <w:rsid w:val="00026F7B"/>
    <w:rsid w:val="000300F8"/>
    <w:rsid w:val="00030F5E"/>
    <w:rsid w:val="0003281B"/>
    <w:rsid w:val="0003482A"/>
    <w:rsid w:val="00036D96"/>
    <w:rsid w:val="00037050"/>
    <w:rsid w:val="00037BDB"/>
    <w:rsid w:val="00040E44"/>
    <w:rsid w:val="00041CE1"/>
    <w:rsid w:val="00042475"/>
    <w:rsid w:val="00042C62"/>
    <w:rsid w:val="0004302A"/>
    <w:rsid w:val="000431F8"/>
    <w:rsid w:val="00043D92"/>
    <w:rsid w:val="000441E3"/>
    <w:rsid w:val="00044496"/>
    <w:rsid w:val="000461D7"/>
    <w:rsid w:val="00046988"/>
    <w:rsid w:val="00046A87"/>
    <w:rsid w:val="00046EAB"/>
    <w:rsid w:val="000479EC"/>
    <w:rsid w:val="000506FA"/>
    <w:rsid w:val="00051C4D"/>
    <w:rsid w:val="000522E0"/>
    <w:rsid w:val="0005323A"/>
    <w:rsid w:val="00055E91"/>
    <w:rsid w:val="00056EE9"/>
    <w:rsid w:val="00056F8F"/>
    <w:rsid w:val="00062178"/>
    <w:rsid w:val="00062879"/>
    <w:rsid w:val="00064DE5"/>
    <w:rsid w:val="000650FC"/>
    <w:rsid w:val="0006750F"/>
    <w:rsid w:val="0006788B"/>
    <w:rsid w:val="00070539"/>
    <w:rsid w:val="000717D6"/>
    <w:rsid w:val="00072906"/>
    <w:rsid w:val="00073275"/>
    <w:rsid w:val="00073C37"/>
    <w:rsid w:val="00073E0D"/>
    <w:rsid w:val="00074131"/>
    <w:rsid w:val="00074DAC"/>
    <w:rsid w:val="0007739F"/>
    <w:rsid w:val="000775BE"/>
    <w:rsid w:val="00080881"/>
    <w:rsid w:val="00081BBE"/>
    <w:rsid w:val="000827D0"/>
    <w:rsid w:val="00082875"/>
    <w:rsid w:val="00083429"/>
    <w:rsid w:val="00083FE1"/>
    <w:rsid w:val="000842E6"/>
    <w:rsid w:val="000852A2"/>
    <w:rsid w:val="00085FEB"/>
    <w:rsid w:val="00086CCC"/>
    <w:rsid w:val="0009026A"/>
    <w:rsid w:val="000928A2"/>
    <w:rsid w:val="000940DB"/>
    <w:rsid w:val="00094D48"/>
    <w:rsid w:val="00097A22"/>
    <w:rsid w:val="000A2BFB"/>
    <w:rsid w:val="000A4856"/>
    <w:rsid w:val="000A4F76"/>
    <w:rsid w:val="000A66E3"/>
    <w:rsid w:val="000B1931"/>
    <w:rsid w:val="000B1E5D"/>
    <w:rsid w:val="000B24A2"/>
    <w:rsid w:val="000B2B93"/>
    <w:rsid w:val="000B347C"/>
    <w:rsid w:val="000B4455"/>
    <w:rsid w:val="000B71D1"/>
    <w:rsid w:val="000C18A3"/>
    <w:rsid w:val="000C22D2"/>
    <w:rsid w:val="000C2814"/>
    <w:rsid w:val="000C3F28"/>
    <w:rsid w:val="000C416A"/>
    <w:rsid w:val="000C431E"/>
    <w:rsid w:val="000C6537"/>
    <w:rsid w:val="000C69EA"/>
    <w:rsid w:val="000C7D56"/>
    <w:rsid w:val="000D3E37"/>
    <w:rsid w:val="000D3F29"/>
    <w:rsid w:val="000D4D6F"/>
    <w:rsid w:val="000D599D"/>
    <w:rsid w:val="000D6AB6"/>
    <w:rsid w:val="000D752D"/>
    <w:rsid w:val="000E0AB8"/>
    <w:rsid w:val="000E1E2C"/>
    <w:rsid w:val="000E2F36"/>
    <w:rsid w:val="000E35BC"/>
    <w:rsid w:val="000E4C88"/>
    <w:rsid w:val="000E5C12"/>
    <w:rsid w:val="000E64D2"/>
    <w:rsid w:val="000E702A"/>
    <w:rsid w:val="000E7E8F"/>
    <w:rsid w:val="000F07FE"/>
    <w:rsid w:val="000F1A10"/>
    <w:rsid w:val="000F2945"/>
    <w:rsid w:val="000F2FE4"/>
    <w:rsid w:val="000F71E9"/>
    <w:rsid w:val="000F77F4"/>
    <w:rsid w:val="0010002F"/>
    <w:rsid w:val="0010012E"/>
    <w:rsid w:val="001015D7"/>
    <w:rsid w:val="001018F4"/>
    <w:rsid w:val="0010222B"/>
    <w:rsid w:val="00103787"/>
    <w:rsid w:val="00103CB1"/>
    <w:rsid w:val="00104811"/>
    <w:rsid w:val="001058A8"/>
    <w:rsid w:val="001061A7"/>
    <w:rsid w:val="00106A7D"/>
    <w:rsid w:val="001111C8"/>
    <w:rsid w:val="00111337"/>
    <w:rsid w:val="001127BB"/>
    <w:rsid w:val="0011287B"/>
    <w:rsid w:val="00112A56"/>
    <w:rsid w:val="00112B39"/>
    <w:rsid w:val="001145EB"/>
    <w:rsid w:val="00114969"/>
    <w:rsid w:val="001155F7"/>
    <w:rsid w:val="00120593"/>
    <w:rsid w:val="0012123E"/>
    <w:rsid w:val="001222A1"/>
    <w:rsid w:val="001232BC"/>
    <w:rsid w:val="001244D4"/>
    <w:rsid w:val="00125696"/>
    <w:rsid w:val="00125EFA"/>
    <w:rsid w:val="00127186"/>
    <w:rsid w:val="00131AAF"/>
    <w:rsid w:val="00134B5C"/>
    <w:rsid w:val="00135237"/>
    <w:rsid w:val="00135353"/>
    <w:rsid w:val="001414BA"/>
    <w:rsid w:val="00142462"/>
    <w:rsid w:val="001428EE"/>
    <w:rsid w:val="00144045"/>
    <w:rsid w:val="0014445D"/>
    <w:rsid w:val="001448BD"/>
    <w:rsid w:val="0014494D"/>
    <w:rsid w:val="00144F73"/>
    <w:rsid w:val="00144FFD"/>
    <w:rsid w:val="00146790"/>
    <w:rsid w:val="00147E0D"/>
    <w:rsid w:val="0015027A"/>
    <w:rsid w:val="00150474"/>
    <w:rsid w:val="001508C4"/>
    <w:rsid w:val="0015135C"/>
    <w:rsid w:val="0015354B"/>
    <w:rsid w:val="0015395A"/>
    <w:rsid w:val="00153E06"/>
    <w:rsid w:val="00154324"/>
    <w:rsid w:val="00155099"/>
    <w:rsid w:val="00155A73"/>
    <w:rsid w:val="00156D32"/>
    <w:rsid w:val="00160A09"/>
    <w:rsid w:val="00161493"/>
    <w:rsid w:val="00162C3D"/>
    <w:rsid w:val="00163DAA"/>
    <w:rsid w:val="00165F59"/>
    <w:rsid w:val="00166650"/>
    <w:rsid w:val="00167E91"/>
    <w:rsid w:val="00170A01"/>
    <w:rsid w:val="00171AE3"/>
    <w:rsid w:val="00171E86"/>
    <w:rsid w:val="00173378"/>
    <w:rsid w:val="0017359F"/>
    <w:rsid w:val="00174A1F"/>
    <w:rsid w:val="00180B21"/>
    <w:rsid w:val="00180B6B"/>
    <w:rsid w:val="0018194D"/>
    <w:rsid w:val="00182615"/>
    <w:rsid w:val="001828E8"/>
    <w:rsid w:val="00182A32"/>
    <w:rsid w:val="00182D19"/>
    <w:rsid w:val="0018333D"/>
    <w:rsid w:val="001852B4"/>
    <w:rsid w:val="00185A14"/>
    <w:rsid w:val="0018664D"/>
    <w:rsid w:val="00187786"/>
    <w:rsid w:val="00190300"/>
    <w:rsid w:val="001904F5"/>
    <w:rsid w:val="00193791"/>
    <w:rsid w:val="00193C6F"/>
    <w:rsid w:val="0019498A"/>
    <w:rsid w:val="00195513"/>
    <w:rsid w:val="001959DE"/>
    <w:rsid w:val="0019684C"/>
    <w:rsid w:val="00196CD1"/>
    <w:rsid w:val="001A2148"/>
    <w:rsid w:val="001A3DB1"/>
    <w:rsid w:val="001A699D"/>
    <w:rsid w:val="001A6FA4"/>
    <w:rsid w:val="001A7906"/>
    <w:rsid w:val="001B02EA"/>
    <w:rsid w:val="001B12DC"/>
    <w:rsid w:val="001B1472"/>
    <w:rsid w:val="001B3282"/>
    <w:rsid w:val="001B4B29"/>
    <w:rsid w:val="001B5502"/>
    <w:rsid w:val="001B5B3A"/>
    <w:rsid w:val="001B5D56"/>
    <w:rsid w:val="001B6455"/>
    <w:rsid w:val="001B6D46"/>
    <w:rsid w:val="001B7D6B"/>
    <w:rsid w:val="001C0641"/>
    <w:rsid w:val="001C10A5"/>
    <w:rsid w:val="001C13FA"/>
    <w:rsid w:val="001C2A31"/>
    <w:rsid w:val="001C2D37"/>
    <w:rsid w:val="001C36E3"/>
    <w:rsid w:val="001C50FF"/>
    <w:rsid w:val="001C523D"/>
    <w:rsid w:val="001C6C32"/>
    <w:rsid w:val="001D0387"/>
    <w:rsid w:val="001D0AFD"/>
    <w:rsid w:val="001D1545"/>
    <w:rsid w:val="001D2CE0"/>
    <w:rsid w:val="001D77EA"/>
    <w:rsid w:val="001E06D7"/>
    <w:rsid w:val="001E072D"/>
    <w:rsid w:val="001E215D"/>
    <w:rsid w:val="001E32BD"/>
    <w:rsid w:val="001E4759"/>
    <w:rsid w:val="001E72CC"/>
    <w:rsid w:val="001F1295"/>
    <w:rsid w:val="001F2129"/>
    <w:rsid w:val="001F452A"/>
    <w:rsid w:val="001F57E5"/>
    <w:rsid w:val="001F5BC5"/>
    <w:rsid w:val="001F60BF"/>
    <w:rsid w:val="001F633D"/>
    <w:rsid w:val="001F65B1"/>
    <w:rsid w:val="001F6CAC"/>
    <w:rsid w:val="001F75AA"/>
    <w:rsid w:val="00200008"/>
    <w:rsid w:val="00200896"/>
    <w:rsid w:val="0020163B"/>
    <w:rsid w:val="00201BB0"/>
    <w:rsid w:val="00204189"/>
    <w:rsid w:val="002050CD"/>
    <w:rsid w:val="0020590D"/>
    <w:rsid w:val="00210EC1"/>
    <w:rsid w:val="0021211A"/>
    <w:rsid w:val="00212360"/>
    <w:rsid w:val="002132CA"/>
    <w:rsid w:val="00216738"/>
    <w:rsid w:val="00222907"/>
    <w:rsid w:val="00223646"/>
    <w:rsid w:val="0022476B"/>
    <w:rsid w:val="00224829"/>
    <w:rsid w:val="00224A8F"/>
    <w:rsid w:val="00224B0A"/>
    <w:rsid w:val="00225402"/>
    <w:rsid w:val="00226B2B"/>
    <w:rsid w:val="0022719B"/>
    <w:rsid w:val="002279D0"/>
    <w:rsid w:val="00227FD3"/>
    <w:rsid w:val="00231F18"/>
    <w:rsid w:val="0023274F"/>
    <w:rsid w:val="00232CD0"/>
    <w:rsid w:val="00235407"/>
    <w:rsid w:val="00235476"/>
    <w:rsid w:val="00235515"/>
    <w:rsid w:val="00235FD7"/>
    <w:rsid w:val="00236120"/>
    <w:rsid w:val="0023624D"/>
    <w:rsid w:val="00236AB0"/>
    <w:rsid w:val="00240EAF"/>
    <w:rsid w:val="00240ECF"/>
    <w:rsid w:val="00240F38"/>
    <w:rsid w:val="00241E95"/>
    <w:rsid w:val="0024499F"/>
    <w:rsid w:val="00244E14"/>
    <w:rsid w:val="00245207"/>
    <w:rsid w:val="00245A5A"/>
    <w:rsid w:val="00246347"/>
    <w:rsid w:val="002472BC"/>
    <w:rsid w:val="00247773"/>
    <w:rsid w:val="00250AA0"/>
    <w:rsid w:val="00252111"/>
    <w:rsid w:val="00252F68"/>
    <w:rsid w:val="00254F62"/>
    <w:rsid w:val="0025645A"/>
    <w:rsid w:val="00257729"/>
    <w:rsid w:val="002577C5"/>
    <w:rsid w:val="00257D36"/>
    <w:rsid w:val="0026040C"/>
    <w:rsid w:val="00262915"/>
    <w:rsid w:val="00263AD5"/>
    <w:rsid w:val="00264762"/>
    <w:rsid w:val="0026478B"/>
    <w:rsid w:val="0026555F"/>
    <w:rsid w:val="00266F9C"/>
    <w:rsid w:val="002679EA"/>
    <w:rsid w:val="00273526"/>
    <w:rsid w:val="00275404"/>
    <w:rsid w:val="00281D21"/>
    <w:rsid w:val="00282094"/>
    <w:rsid w:val="00283A86"/>
    <w:rsid w:val="00283E7E"/>
    <w:rsid w:val="002849E0"/>
    <w:rsid w:val="00286721"/>
    <w:rsid w:val="00286820"/>
    <w:rsid w:val="0028724B"/>
    <w:rsid w:val="00290E62"/>
    <w:rsid w:val="0029194B"/>
    <w:rsid w:val="00291D3E"/>
    <w:rsid w:val="00291EED"/>
    <w:rsid w:val="002933E2"/>
    <w:rsid w:val="00293D22"/>
    <w:rsid w:val="0029656D"/>
    <w:rsid w:val="00296CCE"/>
    <w:rsid w:val="00297306"/>
    <w:rsid w:val="00297F8A"/>
    <w:rsid w:val="002A011D"/>
    <w:rsid w:val="002A0AC5"/>
    <w:rsid w:val="002A0FCE"/>
    <w:rsid w:val="002A2F37"/>
    <w:rsid w:val="002A3673"/>
    <w:rsid w:val="002A3B82"/>
    <w:rsid w:val="002A44AA"/>
    <w:rsid w:val="002A669E"/>
    <w:rsid w:val="002A6807"/>
    <w:rsid w:val="002A6ADD"/>
    <w:rsid w:val="002B1A20"/>
    <w:rsid w:val="002B28CF"/>
    <w:rsid w:val="002B3150"/>
    <w:rsid w:val="002B39E5"/>
    <w:rsid w:val="002B6DF3"/>
    <w:rsid w:val="002C07A5"/>
    <w:rsid w:val="002C0E7F"/>
    <w:rsid w:val="002C1BB0"/>
    <w:rsid w:val="002C2AF6"/>
    <w:rsid w:val="002C2E05"/>
    <w:rsid w:val="002C3750"/>
    <w:rsid w:val="002C5E09"/>
    <w:rsid w:val="002C62A2"/>
    <w:rsid w:val="002C7782"/>
    <w:rsid w:val="002C7A63"/>
    <w:rsid w:val="002C7F75"/>
    <w:rsid w:val="002D1ADB"/>
    <w:rsid w:val="002D3EE2"/>
    <w:rsid w:val="002D7925"/>
    <w:rsid w:val="002D7BF0"/>
    <w:rsid w:val="002E1884"/>
    <w:rsid w:val="002E34BF"/>
    <w:rsid w:val="002E6F92"/>
    <w:rsid w:val="002F207B"/>
    <w:rsid w:val="002F2675"/>
    <w:rsid w:val="002F34F7"/>
    <w:rsid w:val="002F45CB"/>
    <w:rsid w:val="002F4AD5"/>
    <w:rsid w:val="002F6F82"/>
    <w:rsid w:val="002F7DC8"/>
    <w:rsid w:val="00300EE3"/>
    <w:rsid w:val="00303794"/>
    <w:rsid w:val="00304F31"/>
    <w:rsid w:val="00305AD7"/>
    <w:rsid w:val="00307AC7"/>
    <w:rsid w:val="0031005E"/>
    <w:rsid w:val="0031053C"/>
    <w:rsid w:val="003106A1"/>
    <w:rsid w:val="003117BB"/>
    <w:rsid w:val="00312604"/>
    <w:rsid w:val="003138AD"/>
    <w:rsid w:val="00313934"/>
    <w:rsid w:val="00314192"/>
    <w:rsid w:val="00314C5F"/>
    <w:rsid w:val="003157C3"/>
    <w:rsid w:val="00317910"/>
    <w:rsid w:val="00320479"/>
    <w:rsid w:val="00322689"/>
    <w:rsid w:val="00322A9A"/>
    <w:rsid w:val="00330942"/>
    <w:rsid w:val="00332C41"/>
    <w:rsid w:val="00332F70"/>
    <w:rsid w:val="00334615"/>
    <w:rsid w:val="00336853"/>
    <w:rsid w:val="00337949"/>
    <w:rsid w:val="00337B71"/>
    <w:rsid w:val="00337EF8"/>
    <w:rsid w:val="00340154"/>
    <w:rsid w:val="00341721"/>
    <w:rsid w:val="003421DC"/>
    <w:rsid w:val="003451AF"/>
    <w:rsid w:val="00347CA2"/>
    <w:rsid w:val="003519B9"/>
    <w:rsid w:val="00351E5A"/>
    <w:rsid w:val="00351F71"/>
    <w:rsid w:val="00355537"/>
    <w:rsid w:val="003558C9"/>
    <w:rsid w:val="00356790"/>
    <w:rsid w:val="00357B98"/>
    <w:rsid w:val="00360AC8"/>
    <w:rsid w:val="0036383A"/>
    <w:rsid w:val="003665DD"/>
    <w:rsid w:val="003671A2"/>
    <w:rsid w:val="0036792F"/>
    <w:rsid w:val="003703EA"/>
    <w:rsid w:val="00371282"/>
    <w:rsid w:val="00374203"/>
    <w:rsid w:val="0037490E"/>
    <w:rsid w:val="00375590"/>
    <w:rsid w:val="0037675A"/>
    <w:rsid w:val="0037716A"/>
    <w:rsid w:val="0037764B"/>
    <w:rsid w:val="00383744"/>
    <w:rsid w:val="00383783"/>
    <w:rsid w:val="00383795"/>
    <w:rsid w:val="00383E16"/>
    <w:rsid w:val="00385AFE"/>
    <w:rsid w:val="00385C14"/>
    <w:rsid w:val="003863E8"/>
    <w:rsid w:val="003903BD"/>
    <w:rsid w:val="0039117B"/>
    <w:rsid w:val="00391462"/>
    <w:rsid w:val="00392AFE"/>
    <w:rsid w:val="00394B37"/>
    <w:rsid w:val="00394E20"/>
    <w:rsid w:val="003961F0"/>
    <w:rsid w:val="00397807"/>
    <w:rsid w:val="003A08CA"/>
    <w:rsid w:val="003A2E76"/>
    <w:rsid w:val="003A3A14"/>
    <w:rsid w:val="003A45BC"/>
    <w:rsid w:val="003A47F2"/>
    <w:rsid w:val="003A5710"/>
    <w:rsid w:val="003A6903"/>
    <w:rsid w:val="003A6A0F"/>
    <w:rsid w:val="003A71C5"/>
    <w:rsid w:val="003A788F"/>
    <w:rsid w:val="003B0152"/>
    <w:rsid w:val="003B033A"/>
    <w:rsid w:val="003B0404"/>
    <w:rsid w:val="003B0FE5"/>
    <w:rsid w:val="003B1336"/>
    <w:rsid w:val="003B7823"/>
    <w:rsid w:val="003C2891"/>
    <w:rsid w:val="003C2D6C"/>
    <w:rsid w:val="003C45B7"/>
    <w:rsid w:val="003C63BC"/>
    <w:rsid w:val="003C734A"/>
    <w:rsid w:val="003C737B"/>
    <w:rsid w:val="003D287D"/>
    <w:rsid w:val="003D292D"/>
    <w:rsid w:val="003D32E9"/>
    <w:rsid w:val="003D3E21"/>
    <w:rsid w:val="003D44BE"/>
    <w:rsid w:val="003D4718"/>
    <w:rsid w:val="003D4B58"/>
    <w:rsid w:val="003D62AB"/>
    <w:rsid w:val="003D66B2"/>
    <w:rsid w:val="003D68B7"/>
    <w:rsid w:val="003D750C"/>
    <w:rsid w:val="003D7630"/>
    <w:rsid w:val="003D7BD9"/>
    <w:rsid w:val="003D7C04"/>
    <w:rsid w:val="003E00D5"/>
    <w:rsid w:val="003E0251"/>
    <w:rsid w:val="003E0662"/>
    <w:rsid w:val="003E0D86"/>
    <w:rsid w:val="003E16C6"/>
    <w:rsid w:val="003E2D98"/>
    <w:rsid w:val="003E35C8"/>
    <w:rsid w:val="003E7182"/>
    <w:rsid w:val="003F130F"/>
    <w:rsid w:val="003F26D7"/>
    <w:rsid w:val="003F3D6D"/>
    <w:rsid w:val="003F4B1E"/>
    <w:rsid w:val="003F5080"/>
    <w:rsid w:val="003F574E"/>
    <w:rsid w:val="003F66F4"/>
    <w:rsid w:val="003F6C75"/>
    <w:rsid w:val="004014CD"/>
    <w:rsid w:val="00401919"/>
    <w:rsid w:val="00404BE0"/>
    <w:rsid w:val="00411319"/>
    <w:rsid w:val="00411F84"/>
    <w:rsid w:val="00414970"/>
    <w:rsid w:val="004149A4"/>
    <w:rsid w:val="00414A58"/>
    <w:rsid w:val="00415328"/>
    <w:rsid w:val="004157F4"/>
    <w:rsid w:val="004216BD"/>
    <w:rsid w:val="00423FB7"/>
    <w:rsid w:val="00424070"/>
    <w:rsid w:val="0042466A"/>
    <w:rsid w:val="00424DEB"/>
    <w:rsid w:val="00424F59"/>
    <w:rsid w:val="004257E2"/>
    <w:rsid w:val="00426F89"/>
    <w:rsid w:val="00427918"/>
    <w:rsid w:val="00430689"/>
    <w:rsid w:val="0043099A"/>
    <w:rsid w:val="0043116F"/>
    <w:rsid w:val="0043457E"/>
    <w:rsid w:val="00435FF0"/>
    <w:rsid w:val="00441362"/>
    <w:rsid w:val="004423BE"/>
    <w:rsid w:val="00442E28"/>
    <w:rsid w:val="00445CBB"/>
    <w:rsid w:val="00445F9F"/>
    <w:rsid w:val="004508CE"/>
    <w:rsid w:val="00451294"/>
    <w:rsid w:val="0045212C"/>
    <w:rsid w:val="0045270B"/>
    <w:rsid w:val="0045279C"/>
    <w:rsid w:val="0045431D"/>
    <w:rsid w:val="00455A27"/>
    <w:rsid w:val="00455D53"/>
    <w:rsid w:val="00456341"/>
    <w:rsid w:val="004567B9"/>
    <w:rsid w:val="00456C56"/>
    <w:rsid w:val="004570C9"/>
    <w:rsid w:val="00460067"/>
    <w:rsid w:val="004600F6"/>
    <w:rsid w:val="004613E9"/>
    <w:rsid w:val="00463051"/>
    <w:rsid w:val="00465457"/>
    <w:rsid w:val="004657D2"/>
    <w:rsid w:val="004661E4"/>
    <w:rsid w:val="004678DE"/>
    <w:rsid w:val="00467C4C"/>
    <w:rsid w:val="00471B91"/>
    <w:rsid w:val="00472BB9"/>
    <w:rsid w:val="004735D8"/>
    <w:rsid w:val="00474EEF"/>
    <w:rsid w:val="004759D6"/>
    <w:rsid w:val="004760DE"/>
    <w:rsid w:val="00476421"/>
    <w:rsid w:val="004770D2"/>
    <w:rsid w:val="00480706"/>
    <w:rsid w:val="00480B21"/>
    <w:rsid w:val="00486687"/>
    <w:rsid w:val="0049291A"/>
    <w:rsid w:val="00492DB4"/>
    <w:rsid w:val="0049553A"/>
    <w:rsid w:val="00495E8E"/>
    <w:rsid w:val="0049678E"/>
    <w:rsid w:val="00496E89"/>
    <w:rsid w:val="004974E3"/>
    <w:rsid w:val="004A1A98"/>
    <w:rsid w:val="004A306B"/>
    <w:rsid w:val="004A33A7"/>
    <w:rsid w:val="004A4991"/>
    <w:rsid w:val="004B0277"/>
    <w:rsid w:val="004B07EF"/>
    <w:rsid w:val="004B16FC"/>
    <w:rsid w:val="004B186D"/>
    <w:rsid w:val="004B28A6"/>
    <w:rsid w:val="004B3DC2"/>
    <w:rsid w:val="004B4058"/>
    <w:rsid w:val="004B4418"/>
    <w:rsid w:val="004B4DED"/>
    <w:rsid w:val="004C08AA"/>
    <w:rsid w:val="004C3986"/>
    <w:rsid w:val="004C3EA8"/>
    <w:rsid w:val="004C5E21"/>
    <w:rsid w:val="004C61AA"/>
    <w:rsid w:val="004C6910"/>
    <w:rsid w:val="004C73BF"/>
    <w:rsid w:val="004D1519"/>
    <w:rsid w:val="004D1715"/>
    <w:rsid w:val="004D36D5"/>
    <w:rsid w:val="004D4307"/>
    <w:rsid w:val="004D5898"/>
    <w:rsid w:val="004D6070"/>
    <w:rsid w:val="004D6893"/>
    <w:rsid w:val="004D7E84"/>
    <w:rsid w:val="004E2137"/>
    <w:rsid w:val="004E345B"/>
    <w:rsid w:val="004E39D0"/>
    <w:rsid w:val="004E541A"/>
    <w:rsid w:val="004E544E"/>
    <w:rsid w:val="004E64CB"/>
    <w:rsid w:val="004F0B89"/>
    <w:rsid w:val="004F3AEE"/>
    <w:rsid w:val="004F581D"/>
    <w:rsid w:val="004F6652"/>
    <w:rsid w:val="004F79D9"/>
    <w:rsid w:val="005016A1"/>
    <w:rsid w:val="00501EA8"/>
    <w:rsid w:val="005024BA"/>
    <w:rsid w:val="00505027"/>
    <w:rsid w:val="005052C4"/>
    <w:rsid w:val="00506F8F"/>
    <w:rsid w:val="00510A55"/>
    <w:rsid w:val="005110B3"/>
    <w:rsid w:val="00511FBE"/>
    <w:rsid w:val="00512896"/>
    <w:rsid w:val="005135C2"/>
    <w:rsid w:val="0051535B"/>
    <w:rsid w:val="00515A60"/>
    <w:rsid w:val="00517843"/>
    <w:rsid w:val="00517A90"/>
    <w:rsid w:val="00517FD2"/>
    <w:rsid w:val="00520094"/>
    <w:rsid w:val="00523519"/>
    <w:rsid w:val="00524143"/>
    <w:rsid w:val="00526433"/>
    <w:rsid w:val="00526C04"/>
    <w:rsid w:val="0052793F"/>
    <w:rsid w:val="00530D13"/>
    <w:rsid w:val="00531012"/>
    <w:rsid w:val="00531087"/>
    <w:rsid w:val="00531C5A"/>
    <w:rsid w:val="00532113"/>
    <w:rsid w:val="005323BE"/>
    <w:rsid w:val="00537B55"/>
    <w:rsid w:val="00537DF7"/>
    <w:rsid w:val="00540835"/>
    <w:rsid w:val="005411AA"/>
    <w:rsid w:val="005413B9"/>
    <w:rsid w:val="0054223A"/>
    <w:rsid w:val="00542C54"/>
    <w:rsid w:val="00543AC0"/>
    <w:rsid w:val="00544199"/>
    <w:rsid w:val="00544774"/>
    <w:rsid w:val="00545C9D"/>
    <w:rsid w:val="005468B5"/>
    <w:rsid w:val="00546B66"/>
    <w:rsid w:val="00547AFD"/>
    <w:rsid w:val="005503A0"/>
    <w:rsid w:val="0055202F"/>
    <w:rsid w:val="00552385"/>
    <w:rsid w:val="00553F72"/>
    <w:rsid w:val="00554BB5"/>
    <w:rsid w:val="00557228"/>
    <w:rsid w:val="005621A0"/>
    <w:rsid w:val="0056576F"/>
    <w:rsid w:val="00565871"/>
    <w:rsid w:val="00570425"/>
    <w:rsid w:val="005706A6"/>
    <w:rsid w:val="005711B9"/>
    <w:rsid w:val="0057142D"/>
    <w:rsid w:val="00571941"/>
    <w:rsid w:val="00571D10"/>
    <w:rsid w:val="00572900"/>
    <w:rsid w:val="00573219"/>
    <w:rsid w:val="00575482"/>
    <w:rsid w:val="00575B49"/>
    <w:rsid w:val="00575DEC"/>
    <w:rsid w:val="00577CF7"/>
    <w:rsid w:val="0058034F"/>
    <w:rsid w:val="00580D27"/>
    <w:rsid w:val="0058303A"/>
    <w:rsid w:val="00584DBF"/>
    <w:rsid w:val="005854AA"/>
    <w:rsid w:val="00585DF9"/>
    <w:rsid w:val="00587C2C"/>
    <w:rsid w:val="0059056F"/>
    <w:rsid w:val="00591CC5"/>
    <w:rsid w:val="00591D6F"/>
    <w:rsid w:val="0059269D"/>
    <w:rsid w:val="005938A0"/>
    <w:rsid w:val="00593C2E"/>
    <w:rsid w:val="00595717"/>
    <w:rsid w:val="005A3677"/>
    <w:rsid w:val="005A3B0D"/>
    <w:rsid w:val="005A48D4"/>
    <w:rsid w:val="005A4CA3"/>
    <w:rsid w:val="005B03DA"/>
    <w:rsid w:val="005B0B9D"/>
    <w:rsid w:val="005B19BF"/>
    <w:rsid w:val="005B298B"/>
    <w:rsid w:val="005B5EDF"/>
    <w:rsid w:val="005B6C76"/>
    <w:rsid w:val="005B7F34"/>
    <w:rsid w:val="005C254E"/>
    <w:rsid w:val="005C25F9"/>
    <w:rsid w:val="005C50B6"/>
    <w:rsid w:val="005C6A55"/>
    <w:rsid w:val="005C7756"/>
    <w:rsid w:val="005D2799"/>
    <w:rsid w:val="005D460B"/>
    <w:rsid w:val="005D7AC7"/>
    <w:rsid w:val="005E1B17"/>
    <w:rsid w:val="005E2D1F"/>
    <w:rsid w:val="005E2EE2"/>
    <w:rsid w:val="005E3717"/>
    <w:rsid w:val="005E40EE"/>
    <w:rsid w:val="005E47A2"/>
    <w:rsid w:val="005E6220"/>
    <w:rsid w:val="005F0ADE"/>
    <w:rsid w:val="005F14F2"/>
    <w:rsid w:val="005F1ED0"/>
    <w:rsid w:val="005F1EFE"/>
    <w:rsid w:val="005F20C3"/>
    <w:rsid w:val="005F6EE8"/>
    <w:rsid w:val="005F7694"/>
    <w:rsid w:val="005F79D6"/>
    <w:rsid w:val="0060071E"/>
    <w:rsid w:val="00605698"/>
    <w:rsid w:val="00605B3F"/>
    <w:rsid w:val="0060638A"/>
    <w:rsid w:val="00610187"/>
    <w:rsid w:val="006110FC"/>
    <w:rsid w:val="0061277F"/>
    <w:rsid w:val="00612B84"/>
    <w:rsid w:val="00614805"/>
    <w:rsid w:val="006150B1"/>
    <w:rsid w:val="00615C61"/>
    <w:rsid w:val="0062126A"/>
    <w:rsid w:val="00622580"/>
    <w:rsid w:val="00624EF3"/>
    <w:rsid w:val="006257CC"/>
    <w:rsid w:val="00630468"/>
    <w:rsid w:val="006304BC"/>
    <w:rsid w:val="0063073C"/>
    <w:rsid w:val="006307A5"/>
    <w:rsid w:val="00630CA4"/>
    <w:rsid w:val="00632D02"/>
    <w:rsid w:val="00632D09"/>
    <w:rsid w:val="00633E05"/>
    <w:rsid w:val="006343DB"/>
    <w:rsid w:val="0063525F"/>
    <w:rsid w:val="00642924"/>
    <w:rsid w:val="00643188"/>
    <w:rsid w:val="0064360D"/>
    <w:rsid w:val="006445DF"/>
    <w:rsid w:val="006453E6"/>
    <w:rsid w:val="00645570"/>
    <w:rsid w:val="006478C6"/>
    <w:rsid w:val="00650365"/>
    <w:rsid w:val="00650DA7"/>
    <w:rsid w:val="00651963"/>
    <w:rsid w:val="00651AA7"/>
    <w:rsid w:val="00652753"/>
    <w:rsid w:val="0065288B"/>
    <w:rsid w:val="00652A87"/>
    <w:rsid w:val="006530B0"/>
    <w:rsid w:val="00653506"/>
    <w:rsid w:val="00653D12"/>
    <w:rsid w:val="00653DF3"/>
    <w:rsid w:val="006568BC"/>
    <w:rsid w:val="00660E26"/>
    <w:rsid w:val="00661F06"/>
    <w:rsid w:val="006629A4"/>
    <w:rsid w:val="006665E5"/>
    <w:rsid w:val="00667AE1"/>
    <w:rsid w:val="00671051"/>
    <w:rsid w:val="00671E7F"/>
    <w:rsid w:val="00671EB8"/>
    <w:rsid w:val="00672701"/>
    <w:rsid w:val="00674F8E"/>
    <w:rsid w:val="00675A95"/>
    <w:rsid w:val="00685F37"/>
    <w:rsid w:val="006861A2"/>
    <w:rsid w:val="00686941"/>
    <w:rsid w:val="00691123"/>
    <w:rsid w:val="00692146"/>
    <w:rsid w:val="0069289C"/>
    <w:rsid w:val="00694549"/>
    <w:rsid w:val="006953F6"/>
    <w:rsid w:val="00697006"/>
    <w:rsid w:val="006971BD"/>
    <w:rsid w:val="006A2654"/>
    <w:rsid w:val="006A338F"/>
    <w:rsid w:val="006A4CF0"/>
    <w:rsid w:val="006A6378"/>
    <w:rsid w:val="006A6981"/>
    <w:rsid w:val="006B154C"/>
    <w:rsid w:val="006B5A3E"/>
    <w:rsid w:val="006B5E86"/>
    <w:rsid w:val="006B6B4D"/>
    <w:rsid w:val="006B6BA9"/>
    <w:rsid w:val="006B7050"/>
    <w:rsid w:val="006C0362"/>
    <w:rsid w:val="006C160E"/>
    <w:rsid w:val="006C2E11"/>
    <w:rsid w:val="006C51B0"/>
    <w:rsid w:val="006C5411"/>
    <w:rsid w:val="006C7680"/>
    <w:rsid w:val="006D064C"/>
    <w:rsid w:val="006D3EFE"/>
    <w:rsid w:val="006D4079"/>
    <w:rsid w:val="006D5CB3"/>
    <w:rsid w:val="006E04A2"/>
    <w:rsid w:val="006E0CB5"/>
    <w:rsid w:val="006E2875"/>
    <w:rsid w:val="006E2D1E"/>
    <w:rsid w:val="006E34EF"/>
    <w:rsid w:val="006E5A7C"/>
    <w:rsid w:val="006F14BE"/>
    <w:rsid w:val="006F1D46"/>
    <w:rsid w:val="006F1FA9"/>
    <w:rsid w:val="006F248A"/>
    <w:rsid w:val="006F2ABB"/>
    <w:rsid w:val="006F31F1"/>
    <w:rsid w:val="006F39A8"/>
    <w:rsid w:val="006F434F"/>
    <w:rsid w:val="006F5CAC"/>
    <w:rsid w:val="006F6217"/>
    <w:rsid w:val="006F627B"/>
    <w:rsid w:val="006F698B"/>
    <w:rsid w:val="00700747"/>
    <w:rsid w:val="00702261"/>
    <w:rsid w:val="0070513A"/>
    <w:rsid w:val="007061B0"/>
    <w:rsid w:val="00711BD3"/>
    <w:rsid w:val="007123BD"/>
    <w:rsid w:val="00712DA8"/>
    <w:rsid w:val="0071424E"/>
    <w:rsid w:val="007147A5"/>
    <w:rsid w:val="0071555F"/>
    <w:rsid w:val="00721B6F"/>
    <w:rsid w:val="007220A7"/>
    <w:rsid w:val="0072227C"/>
    <w:rsid w:val="007236D6"/>
    <w:rsid w:val="0072381B"/>
    <w:rsid w:val="007251E9"/>
    <w:rsid w:val="007257A1"/>
    <w:rsid w:val="00726DEF"/>
    <w:rsid w:val="00727093"/>
    <w:rsid w:val="00727BBE"/>
    <w:rsid w:val="00730709"/>
    <w:rsid w:val="00730C56"/>
    <w:rsid w:val="007342F3"/>
    <w:rsid w:val="00735487"/>
    <w:rsid w:val="00736D87"/>
    <w:rsid w:val="007371D2"/>
    <w:rsid w:val="00741A1E"/>
    <w:rsid w:val="00743CE9"/>
    <w:rsid w:val="00744D75"/>
    <w:rsid w:val="00747E7A"/>
    <w:rsid w:val="007521F3"/>
    <w:rsid w:val="00753576"/>
    <w:rsid w:val="00754A26"/>
    <w:rsid w:val="0075526F"/>
    <w:rsid w:val="0075577E"/>
    <w:rsid w:val="007569DB"/>
    <w:rsid w:val="00756F92"/>
    <w:rsid w:val="00761A94"/>
    <w:rsid w:val="00761AD5"/>
    <w:rsid w:val="007621D1"/>
    <w:rsid w:val="007674C0"/>
    <w:rsid w:val="00767FC7"/>
    <w:rsid w:val="00770170"/>
    <w:rsid w:val="00772A79"/>
    <w:rsid w:val="00773225"/>
    <w:rsid w:val="007735E8"/>
    <w:rsid w:val="00773AC8"/>
    <w:rsid w:val="00774A96"/>
    <w:rsid w:val="00774DF3"/>
    <w:rsid w:val="007768BD"/>
    <w:rsid w:val="007769EA"/>
    <w:rsid w:val="0077791C"/>
    <w:rsid w:val="00781203"/>
    <w:rsid w:val="00782C97"/>
    <w:rsid w:val="007838F9"/>
    <w:rsid w:val="00785021"/>
    <w:rsid w:val="00785B88"/>
    <w:rsid w:val="007864AF"/>
    <w:rsid w:val="00790B8B"/>
    <w:rsid w:val="007914ED"/>
    <w:rsid w:val="00793560"/>
    <w:rsid w:val="00796ADB"/>
    <w:rsid w:val="00797520"/>
    <w:rsid w:val="00797684"/>
    <w:rsid w:val="007A21A5"/>
    <w:rsid w:val="007A4C34"/>
    <w:rsid w:val="007A6EFB"/>
    <w:rsid w:val="007A7629"/>
    <w:rsid w:val="007B1B7E"/>
    <w:rsid w:val="007B1E6D"/>
    <w:rsid w:val="007B2C33"/>
    <w:rsid w:val="007B2F9D"/>
    <w:rsid w:val="007B39CB"/>
    <w:rsid w:val="007B5185"/>
    <w:rsid w:val="007B5241"/>
    <w:rsid w:val="007B6E35"/>
    <w:rsid w:val="007C0B92"/>
    <w:rsid w:val="007C30AA"/>
    <w:rsid w:val="007C3228"/>
    <w:rsid w:val="007C4A7A"/>
    <w:rsid w:val="007C4C92"/>
    <w:rsid w:val="007C4D9F"/>
    <w:rsid w:val="007C6096"/>
    <w:rsid w:val="007C6823"/>
    <w:rsid w:val="007C76E7"/>
    <w:rsid w:val="007C7896"/>
    <w:rsid w:val="007D2FB1"/>
    <w:rsid w:val="007D3008"/>
    <w:rsid w:val="007D38DE"/>
    <w:rsid w:val="007D5397"/>
    <w:rsid w:val="007D6C2B"/>
    <w:rsid w:val="007D6DB5"/>
    <w:rsid w:val="007D7364"/>
    <w:rsid w:val="007E0669"/>
    <w:rsid w:val="007E171E"/>
    <w:rsid w:val="007E1C42"/>
    <w:rsid w:val="007E27F9"/>
    <w:rsid w:val="007E2B28"/>
    <w:rsid w:val="007E2EEF"/>
    <w:rsid w:val="007E641F"/>
    <w:rsid w:val="007F1953"/>
    <w:rsid w:val="007F2443"/>
    <w:rsid w:val="007F427D"/>
    <w:rsid w:val="007F7FAC"/>
    <w:rsid w:val="0080141C"/>
    <w:rsid w:val="0080208C"/>
    <w:rsid w:val="0080349F"/>
    <w:rsid w:val="0080448D"/>
    <w:rsid w:val="00805A46"/>
    <w:rsid w:val="00805BCD"/>
    <w:rsid w:val="008060A9"/>
    <w:rsid w:val="00807833"/>
    <w:rsid w:val="00810145"/>
    <w:rsid w:val="00811BC9"/>
    <w:rsid w:val="00812A32"/>
    <w:rsid w:val="00812EC6"/>
    <w:rsid w:val="0081302B"/>
    <w:rsid w:val="00813CCF"/>
    <w:rsid w:val="00813F0B"/>
    <w:rsid w:val="00815103"/>
    <w:rsid w:val="00816C4C"/>
    <w:rsid w:val="00821837"/>
    <w:rsid w:val="00826C32"/>
    <w:rsid w:val="008275B0"/>
    <w:rsid w:val="00827F13"/>
    <w:rsid w:val="0083077C"/>
    <w:rsid w:val="0083234C"/>
    <w:rsid w:val="00833E66"/>
    <w:rsid w:val="00834E59"/>
    <w:rsid w:val="00834EE7"/>
    <w:rsid w:val="008350E1"/>
    <w:rsid w:val="0083533E"/>
    <w:rsid w:val="00835C62"/>
    <w:rsid w:val="00835F29"/>
    <w:rsid w:val="008363D5"/>
    <w:rsid w:val="008366AB"/>
    <w:rsid w:val="008369CA"/>
    <w:rsid w:val="008372FB"/>
    <w:rsid w:val="00837AAD"/>
    <w:rsid w:val="00837C89"/>
    <w:rsid w:val="00837CEA"/>
    <w:rsid w:val="0084081D"/>
    <w:rsid w:val="00840E70"/>
    <w:rsid w:val="00842EA4"/>
    <w:rsid w:val="0084460A"/>
    <w:rsid w:val="00844EC2"/>
    <w:rsid w:val="0084756C"/>
    <w:rsid w:val="00847C3D"/>
    <w:rsid w:val="00850E95"/>
    <w:rsid w:val="008517E5"/>
    <w:rsid w:val="00851984"/>
    <w:rsid w:val="008524EE"/>
    <w:rsid w:val="00853E46"/>
    <w:rsid w:val="0085434F"/>
    <w:rsid w:val="00855D8C"/>
    <w:rsid w:val="008564FC"/>
    <w:rsid w:val="008568F0"/>
    <w:rsid w:val="0085772F"/>
    <w:rsid w:val="00860C09"/>
    <w:rsid w:val="00860F6E"/>
    <w:rsid w:val="00862495"/>
    <w:rsid w:val="00862E71"/>
    <w:rsid w:val="0086459C"/>
    <w:rsid w:val="00867052"/>
    <w:rsid w:val="0086707B"/>
    <w:rsid w:val="00871826"/>
    <w:rsid w:val="008737CB"/>
    <w:rsid w:val="00873EA5"/>
    <w:rsid w:val="008740F6"/>
    <w:rsid w:val="008747C2"/>
    <w:rsid w:val="00875C75"/>
    <w:rsid w:val="00875FC4"/>
    <w:rsid w:val="00876906"/>
    <w:rsid w:val="008770CE"/>
    <w:rsid w:val="00880371"/>
    <w:rsid w:val="00880957"/>
    <w:rsid w:val="00881F56"/>
    <w:rsid w:val="00882A68"/>
    <w:rsid w:val="00883342"/>
    <w:rsid w:val="00883480"/>
    <w:rsid w:val="00884D86"/>
    <w:rsid w:val="00885FCA"/>
    <w:rsid w:val="00886AF6"/>
    <w:rsid w:val="008901BB"/>
    <w:rsid w:val="008901BD"/>
    <w:rsid w:val="008910F2"/>
    <w:rsid w:val="008912C0"/>
    <w:rsid w:val="008923C0"/>
    <w:rsid w:val="0089294C"/>
    <w:rsid w:val="00893730"/>
    <w:rsid w:val="00894546"/>
    <w:rsid w:val="008959CC"/>
    <w:rsid w:val="00895CEE"/>
    <w:rsid w:val="00896108"/>
    <w:rsid w:val="00896CEC"/>
    <w:rsid w:val="008A0C58"/>
    <w:rsid w:val="008A215D"/>
    <w:rsid w:val="008A306B"/>
    <w:rsid w:val="008A3871"/>
    <w:rsid w:val="008A6C71"/>
    <w:rsid w:val="008A6D76"/>
    <w:rsid w:val="008B064E"/>
    <w:rsid w:val="008B192B"/>
    <w:rsid w:val="008B1EFD"/>
    <w:rsid w:val="008B1FB8"/>
    <w:rsid w:val="008B2AFD"/>
    <w:rsid w:val="008B2CB1"/>
    <w:rsid w:val="008B3F4F"/>
    <w:rsid w:val="008B7040"/>
    <w:rsid w:val="008B7E3F"/>
    <w:rsid w:val="008C0492"/>
    <w:rsid w:val="008C0D84"/>
    <w:rsid w:val="008C34F0"/>
    <w:rsid w:val="008C4BE3"/>
    <w:rsid w:val="008C5030"/>
    <w:rsid w:val="008C668E"/>
    <w:rsid w:val="008C673F"/>
    <w:rsid w:val="008C6C80"/>
    <w:rsid w:val="008C78D6"/>
    <w:rsid w:val="008D0E15"/>
    <w:rsid w:val="008D11A9"/>
    <w:rsid w:val="008D2AB6"/>
    <w:rsid w:val="008D3DD5"/>
    <w:rsid w:val="008D4263"/>
    <w:rsid w:val="008D4589"/>
    <w:rsid w:val="008D553B"/>
    <w:rsid w:val="008E0C95"/>
    <w:rsid w:val="008E1323"/>
    <w:rsid w:val="008E1751"/>
    <w:rsid w:val="008E5820"/>
    <w:rsid w:val="008F0BA5"/>
    <w:rsid w:val="008F1371"/>
    <w:rsid w:val="008F28DD"/>
    <w:rsid w:val="008F3BD4"/>
    <w:rsid w:val="008F4980"/>
    <w:rsid w:val="008F4E99"/>
    <w:rsid w:val="008F72FF"/>
    <w:rsid w:val="008F7A42"/>
    <w:rsid w:val="008F7C1D"/>
    <w:rsid w:val="008F7CAB"/>
    <w:rsid w:val="009004FF"/>
    <w:rsid w:val="009013BB"/>
    <w:rsid w:val="00901FD8"/>
    <w:rsid w:val="0090296F"/>
    <w:rsid w:val="00902F90"/>
    <w:rsid w:val="009033FC"/>
    <w:rsid w:val="00903FA9"/>
    <w:rsid w:val="00904FCA"/>
    <w:rsid w:val="00907574"/>
    <w:rsid w:val="00907C49"/>
    <w:rsid w:val="00910E6F"/>
    <w:rsid w:val="009127DB"/>
    <w:rsid w:val="00912D8B"/>
    <w:rsid w:val="0091371A"/>
    <w:rsid w:val="0091372B"/>
    <w:rsid w:val="00914083"/>
    <w:rsid w:val="00914F55"/>
    <w:rsid w:val="00916381"/>
    <w:rsid w:val="009168A7"/>
    <w:rsid w:val="00920079"/>
    <w:rsid w:val="00920C40"/>
    <w:rsid w:val="009210EA"/>
    <w:rsid w:val="00923DDB"/>
    <w:rsid w:val="00924A7D"/>
    <w:rsid w:val="00925AEE"/>
    <w:rsid w:val="0092630B"/>
    <w:rsid w:val="009268F6"/>
    <w:rsid w:val="00927E65"/>
    <w:rsid w:val="009300B4"/>
    <w:rsid w:val="009302B2"/>
    <w:rsid w:val="00931CF6"/>
    <w:rsid w:val="0093217A"/>
    <w:rsid w:val="00932922"/>
    <w:rsid w:val="0093358E"/>
    <w:rsid w:val="0093587F"/>
    <w:rsid w:val="00936D9D"/>
    <w:rsid w:val="00940917"/>
    <w:rsid w:val="0094134A"/>
    <w:rsid w:val="0094144E"/>
    <w:rsid w:val="00943CF2"/>
    <w:rsid w:val="00943FB2"/>
    <w:rsid w:val="00951697"/>
    <w:rsid w:val="009524C1"/>
    <w:rsid w:val="00952A09"/>
    <w:rsid w:val="00954095"/>
    <w:rsid w:val="00956844"/>
    <w:rsid w:val="00956FCF"/>
    <w:rsid w:val="00960305"/>
    <w:rsid w:val="00961122"/>
    <w:rsid w:val="00962116"/>
    <w:rsid w:val="00962479"/>
    <w:rsid w:val="00963800"/>
    <w:rsid w:val="00964FD2"/>
    <w:rsid w:val="00965C1A"/>
    <w:rsid w:val="009669C5"/>
    <w:rsid w:val="009671A1"/>
    <w:rsid w:val="00970746"/>
    <w:rsid w:val="00970DD1"/>
    <w:rsid w:val="009711E9"/>
    <w:rsid w:val="00972931"/>
    <w:rsid w:val="00973077"/>
    <w:rsid w:val="009731D9"/>
    <w:rsid w:val="0097351A"/>
    <w:rsid w:val="00974AEC"/>
    <w:rsid w:val="0097573E"/>
    <w:rsid w:val="009765FE"/>
    <w:rsid w:val="0097701B"/>
    <w:rsid w:val="009774C9"/>
    <w:rsid w:val="00977887"/>
    <w:rsid w:val="00980093"/>
    <w:rsid w:val="00980613"/>
    <w:rsid w:val="0098087D"/>
    <w:rsid w:val="009808FF"/>
    <w:rsid w:val="00980DA5"/>
    <w:rsid w:val="00982471"/>
    <w:rsid w:val="00982789"/>
    <w:rsid w:val="00982A11"/>
    <w:rsid w:val="00983EC8"/>
    <w:rsid w:val="00984972"/>
    <w:rsid w:val="00984A45"/>
    <w:rsid w:val="00985236"/>
    <w:rsid w:val="009858CA"/>
    <w:rsid w:val="00986D82"/>
    <w:rsid w:val="00990D1C"/>
    <w:rsid w:val="009934C4"/>
    <w:rsid w:val="00993D3C"/>
    <w:rsid w:val="009953CB"/>
    <w:rsid w:val="00995CA0"/>
    <w:rsid w:val="009960D5"/>
    <w:rsid w:val="009A1BB6"/>
    <w:rsid w:val="009A311C"/>
    <w:rsid w:val="009A3885"/>
    <w:rsid w:val="009A39A3"/>
    <w:rsid w:val="009A4121"/>
    <w:rsid w:val="009A4CCF"/>
    <w:rsid w:val="009A668B"/>
    <w:rsid w:val="009B0C39"/>
    <w:rsid w:val="009B0FC8"/>
    <w:rsid w:val="009B5675"/>
    <w:rsid w:val="009B7FE0"/>
    <w:rsid w:val="009C09EE"/>
    <w:rsid w:val="009C582C"/>
    <w:rsid w:val="009C63B0"/>
    <w:rsid w:val="009C6CC0"/>
    <w:rsid w:val="009C6EA4"/>
    <w:rsid w:val="009D029D"/>
    <w:rsid w:val="009D02BE"/>
    <w:rsid w:val="009D530D"/>
    <w:rsid w:val="009D5C17"/>
    <w:rsid w:val="009D6CBB"/>
    <w:rsid w:val="009E03BD"/>
    <w:rsid w:val="009E119D"/>
    <w:rsid w:val="009E1DE8"/>
    <w:rsid w:val="009E4D86"/>
    <w:rsid w:val="009E5605"/>
    <w:rsid w:val="009E7798"/>
    <w:rsid w:val="009F0316"/>
    <w:rsid w:val="009F2476"/>
    <w:rsid w:val="009F30E2"/>
    <w:rsid w:val="009F3A17"/>
    <w:rsid w:val="009F3B47"/>
    <w:rsid w:val="009F66C4"/>
    <w:rsid w:val="00A000E2"/>
    <w:rsid w:val="00A0390F"/>
    <w:rsid w:val="00A11F6F"/>
    <w:rsid w:val="00A12102"/>
    <w:rsid w:val="00A1436B"/>
    <w:rsid w:val="00A15AD3"/>
    <w:rsid w:val="00A17053"/>
    <w:rsid w:val="00A20565"/>
    <w:rsid w:val="00A20818"/>
    <w:rsid w:val="00A21962"/>
    <w:rsid w:val="00A24AAB"/>
    <w:rsid w:val="00A25A67"/>
    <w:rsid w:val="00A25B75"/>
    <w:rsid w:val="00A269A3"/>
    <w:rsid w:val="00A274F3"/>
    <w:rsid w:val="00A27690"/>
    <w:rsid w:val="00A3014A"/>
    <w:rsid w:val="00A308E1"/>
    <w:rsid w:val="00A30E44"/>
    <w:rsid w:val="00A31DB8"/>
    <w:rsid w:val="00A33CBA"/>
    <w:rsid w:val="00A37756"/>
    <w:rsid w:val="00A37860"/>
    <w:rsid w:val="00A37CFE"/>
    <w:rsid w:val="00A400FC"/>
    <w:rsid w:val="00A4063C"/>
    <w:rsid w:val="00A41CCC"/>
    <w:rsid w:val="00A44091"/>
    <w:rsid w:val="00A44D40"/>
    <w:rsid w:val="00A47F86"/>
    <w:rsid w:val="00A50A76"/>
    <w:rsid w:val="00A50F8F"/>
    <w:rsid w:val="00A511E2"/>
    <w:rsid w:val="00A52941"/>
    <w:rsid w:val="00A52C64"/>
    <w:rsid w:val="00A53C9C"/>
    <w:rsid w:val="00A54084"/>
    <w:rsid w:val="00A54793"/>
    <w:rsid w:val="00A54CB4"/>
    <w:rsid w:val="00A54DEC"/>
    <w:rsid w:val="00A55094"/>
    <w:rsid w:val="00A63BF9"/>
    <w:rsid w:val="00A73A01"/>
    <w:rsid w:val="00A775DD"/>
    <w:rsid w:val="00A80B6A"/>
    <w:rsid w:val="00A81FF2"/>
    <w:rsid w:val="00A83B2B"/>
    <w:rsid w:val="00A85ADA"/>
    <w:rsid w:val="00A85F42"/>
    <w:rsid w:val="00A864E1"/>
    <w:rsid w:val="00A86CA9"/>
    <w:rsid w:val="00A87B34"/>
    <w:rsid w:val="00A87D5F"/>
    <w:rsid w:val="00A90373"/>
    <w:rsid w:val="00A90759"/>
    <w:rsid w:val="00A90B0B"/>
    <w:rsid w:val="00A90BE2"/>
    <w:rsid w:val="00A91591"/>
    <w:rsid w:val="00A93D7F"/>
    <w:rsid w:val="00A96AA6"/>
    <w:rsid w:val="00A97742"/>
    <w:rsid w:val="00AA0174"/>
    <w:rsid w:val="00AA1CB9"/>
    <w:rsid w:val="00AA2D5D"/>
    <w:rsid w:val="00AA4493"/>
    <w:rsid w:val="00AA535B"/>
    <w:rsid w:val="00AA5C26"/>
    <w:rsid w:val="00AA739C"/>
    <w:rsid w:val="00AA7478"/>
    <w:rsid w:val="00AB2247"/>
    <w:rsid w:val="00AB46FE"/>
    <w:rsid w:val="00AB4F2B"/>
    <w:rsid w:val="00AB6BBF"/>
    <w:rsid w:val="00AB6BF7"/>
    <w:rsid w:val="00AC07A4"/>
    <w:rsid w:val="00AC4556"/>
    <w:rsid w:val="00AC6989"/>
    <w:rsid w:val="00AC70E2"/>
    <w:rsid w:val="00AC764C"/>
    <w:rsid w:val="00AD0B83"/>
    <w:rsid w:val="00AD2D83"/>
    <w:rsid w:val="00AD7EAB"/>
    <w:rsid w:val="00AE2CFF"/>
    <w:rsid w:val="00AE5B1B"/>
    <w:rsid w:val="00AE62E5"/>
    <w:rsid w:val="00AF05B5"/>
    <w:rsid w:val="00AF2080"/>
    <w:rsid w:val="00AF386F"/>
    <w:rsid w:val="00AF4844"/>
    <w:rsid w:val="00AF754F"/>
    <w:rsid w:val="00B008CB"/>
    <w:rsid w:val="00B019F0"/>
    <w:rsid w:val="00B01B59"/>
    <w:rsid w:val="00B045B4"/>
    <w:rsid w:val="00B0462A"/>
    <w:rsid w:val="00B04AA4"/>
    <w:rsid w:val="00B07CE6"/>
    <w:rsid w:val="00B07DCC"/>
    <w:rsid w:val="00B1399C"/>
    <w:rsid w:val="00B14D6B"/>
    <w:rsid w:val="00B163AA"/>
    <w:rsid w:val="00B16F26"/>
    <w:rsid w:val="00B20A2F"/>
    <w:rsid w:val="00B262CC"/>
    <w:rsid w:val="00B30D31"/>
    <w:rsid w:val="00B3113E"/>
    <w:rsid w:val="00B32005"/>
    <w:rsid w:val="00B3507F"/>
    <w:rsid w:val="00B37CB2"/>
    <w:rsid w:val="00B4043A"/>
    <w:rsid w:val="00B40722"/>
    <w:rsid w:val="00B40D3B"/>
    <w:rsid w:val="00B43324"/>
    <w:rsid w:val="00B43C92"/>
    <w:rsid w:val="00B444FC"/>
    <w:rsid w:val="00B44BB3"/>
    <w:rsid w:val="00B45337"/>
    <w:rsid w:val="00B454D2"/>
    <w:rsid w:val="00B45587"/>
    <w:rsid w:val="00B45B03"/>
    <w:rsid w:val="00B4613D"/>
    <w:rsid w:val="00B47F48"/>
    <w:rsid w:val="00B500EA"/>
    <w:rsid w:val="00B52808"/>
    <w:rsid w:val="00B549C3"/>
    <w:rsid w:val="00B56272"/>
    <w:rsid w:val="00B615A5"/>
    <w:rsid w:val="00B615C8"/>
    <w:rsid w:val="00B63B94"/>
    <w:rsid w:val="00B641C0"/>
    <w:rsid w:val="00B6442B"/>
    <w:rsid w:val="00B64B96"/>
    <w:rsid w:val="00B64E5A"/>
    <w:rsid w:val="00B65322"/>
    <w:rsid w:val="00B65598"/>
    <w:rsid w:val="00B6583D"/>
    <w:rsid w:val="00B6616B"/>
    <w:rsid w:val="00B66E38"/>
    <w:rsid w:val="00B67ABD"/>
    <w:rsid w:val="00B700F5"/>
    <w:rsid w:val="00B707C5"/>
    <w:rsid w:val="00B70F98"/>
    <w:rsid w:val="00B72CB4"/>
    <w:rsid w:val="00B72F5D"/>
    <w:rsid w:val="00B73E27"/>
    <w:rsid w:val="00B7462A"/>
    <w:rsid w:val="00B749E8"/>
    <w:rsid w:val="00B7583F"/>
    <w:rsid w:val="00B77C3A"/>
    <w:rsid w:val="00B80AC7"/>
    <w:rsid w:val="00B82D9E"/>
    <w:rsid w:val="00B84707"/>
    <w:rsid w:val="00B8565E"/>
    <w:rsid w:val="00B85D2F"/>
    <w:rsid w:val="00B876D2"/>
    <w:rsid w:val="00B901C4"/>
    <w:rsid w:val="00B9045D"/>
    <w:rsid w:val="00B90A46"/>
    <w:rsid w:val="00B92A79"/>
    <w:rsid w:val="00B93223"/>
    <w:rsid w:val="00B935FD"/>
    <w:rsid w:val="00B93DEF"/>
    <w:rsid w:val="00B93E61"/>
    <w:rsid w:val="00B95D46"/>
    <w:rsid w:val="00B974ED"/>
    <w:rsid w:val="00BA1C06"/>
    <w:rsid w:val="00BA444D"/>
    <w:rsid w:val="00BA463B"/>
    <w:rsid w:val="00BA4AEE"/>
    <w:rsid w:val="00BA4D12"/>
    <w:rsid w:val="00BA5DD4"/>
    <w:rsid w:val="00BA69DA"/>
    <w:rsid w:val="00BB0ABA"/>
    <w:rsid w:val="00BB10D5"/>
    <w:rsid w:val="00BB13EC"/>
    <w:rsid w:val="00BB1425"/>
    <w:rsid w:val="00BB187E"/>
    <w:rsid w:val="00BB3E17"/>
    <w:rsid w:val="00BB54C0"/>
    <w:rsid w:val="00BC0D9C"/>
    <w:rsid w:val="00BC18EA"/>
    <w:rsid w:val="00BC2FFB"/>
    <w:rsid w:val="00BC3915"/>
    <w:rsid w:val="00BC5373"/>
    <w:rsid w:val="00BC6069"/>
    <w:rsid w:val="00BC62EE"/>
    <w:rsid w:val="00BC7F18"/>
    <w:rsid w:val="00BD0B9D"/>
    <w:rsid w:val="00BD0BFF"/>
    <w:rsid w:val="00BD2C12"/>
    <w:rsid w:val="00BD2E9E"/>
    <w:rsid w:val="00BD32CC"/>
    <w:rsid w:val="00BD3D9B"/>
    <w:rsid w:val="00BD4767"/>
    <w:rsid w:val="00BD592E"/>
    <w:rsid w:val="00BE00B9"/>
    <w:rsid w:val="00BE4EDF"/>
    <w:rsid w:val="00BE69EC"/>
    <w:rsid w:val="00BE6F3C"/>
    <w:rsid w:val="00BE704A"/>
    <w:rsid w:val="00BF279E"/>
    <w:rsid w:val="00BF4327"/>
    <w:rsid w:val="00BF43BC"/>
    <w:rsid w:val="00BF60A1"/>
    <w:rsid w:val="00BF615C"/>
    <w:rsid w:val="00BF726B"/>
    <w:rsid w:val="00BF7B12"/>
    <w:rsid w:val="00BF7C3C"/>
    <w:rsid w:val="00BF7EBD"/>
    <w:rsid w:val="00C00316"/>
    <w:rsid w:val="00C04D9F"/>
    <w:rsid w:val="00C0525B"/>
    <w:rsid w:val="00C0616F"/>
    <w:rsid w:val="00C071F7"/>
    <w:rsid w:val="00C07F02"/>
    <w:rsid w:val="00C11258"/>
    <w:rsid w:val="00C11DFB"/>
    <w:rsid w:val="00C12679"/>
    <w:rsid w:val="00C13EFE"/>
    <w:rsid w:val="00C147E2"/>
    <w:rsid w:val="00C16447"/>
    <w:rsid w:val="00C22E28"/>
    <w:rsid w:val="00C237BE"/>
    <w:rsid w:val="00C23A25"/>
    <w:rsid w:val="00C24673"/>
    <w:rsid w:val="00C249C6"/>
    <w:rsid w:val="00C24B20"/>
    <w:rsid w:val="00C24F23"/>
    <w:rsid w:val="00C279D7"/>
    <w:rsid w:val="00C27C84"/>
    <w:rsid w:val="00C31C79"/>
    <w:rsid w:val="00C328A0"/>
    <w:rsid w:val="00C3416C"/>
    <w:rsid w:val="00C3603C"/>
    <w:rsid w:val="00C36765"/>
    <w:rsid w:val="00C36B7E"/>
    <w:rsid w:val="00C372CF"/>
    <w:rsid w:val="00C41CC8"/>
    <w:rsid w:val="00C429D5"/>
    <w:rsid w:val="00C43892"/>
    <w:rsid w:val="00C44FAA"/>
    <w:rsid w:val="00C517CE"/>
    <w:rsid w:val="00C52A97"/>
    <w:rsid w:val="00C54B11"/>
    <w:rsid w:val="00C54BFD"/>
    <w:rsid w:val="00C55186"/>
    <w:rsid w:val="00C552A8"/>
    <w:rsid w:val="00C566DD"/>
    <w:rsid w:val="00C61B09"/>
    <w:rsid w:val="00C628C0"/>
    <w:rsid w:val="00C63B99"/>
    <w:rsid w:val="00C65FB4"/>
    <w:rsid w:val="00C66B02"/>
    <w:rsid w:val="00C67437"/>
    <w:rsid w:val="00C70E79"/>
    <w:rsid w:val="00C71021"/>
    <w:rsid w:val="00C72406"/>
    <w:rsid w:val="00C76703"/>
    <w:rsid w:val="00C768AB"/>
    <w:rsid w:val="00C80FA6"/>
    <w:rsid w:val="00C811F8"/>
    <w:rsid w:val="00C813A9"/>
    <w:rsid w:val="00C8269E"/>
    <w:rsid w:val="00C829E8"/>
    <w:rsid w:val="00C84A06"/>
    <w:rsid w:val="00C85A0F"/>
    <w:rsid w:val="00C85EB2"/>
    <w:rsid w:val="00C86B49"/>
    <w:rsid w:val="00C87E90"/>
    <w:rsid w:val="00C90C5B"/>
    <w:rsid w:val="00C91FDF"/>
    <w:rsid w:val="00C92B87"/>
    <w:rsid w:val="00C931EE"/>
    <w:rsid w:val="00C933F5"/>
    <w:rsid w:val="00C946A2"/>
    <w:rsid w:val="00CA1BF6"/>
    <w:rsid w:val="00CA1D4E"/>
    <w:rsid w:val="00CA3671"/>
    <w:rsid w:val="00CA4B4F"/>
    <w:rsid w:val="00CA50DE"/>
    <w:rsid w:val="00CB00A0"/>
    <w:rsid w:val="00CB1DF3"/>
    <w:rsid w:val="00CB271E"/>
    <w:rsid w:val="00CB27DF"/>
    <w:rsid w:val="00CB2BEA"/>
    <w:rsid w:val="00CB30AB"/>
    <w:rsid w:val="00CB30D4"/>
    <w:rsid w:val="00CB4551"/>
    <w:rsid w:val="00CB4A3A"/>
    <w:rsid w:val="00CB4E1C"/>
    <w:rsid w:val="00CB76E2"/>
    <w:rsid w:val="00CB7741"/>
    <w:rsid w:val="00CB7873"/>
    <w:rsid w:val="00CC55C6"/>
    <w:rsid w:val="00CC5971"/>
    <w:rsid w:val="00CC600C"/>
    <w:rsid w:val="00CC6F75"/>
    <w:rsid w:val="00CC71EA"/>
    <w:rsid w:val="00CC7C53"/>
    <w:rsid w:val="00CD0BA7"/>
    <w:rsid w:val="00CD0C13"/>
    <w:rsid w:val="00CD14C4"/>
    <w:rsid w:val="00CD18D7"/>
    <w:rsid w:val="00CD1D37"/>
    <w:rsid w:val="00CD3342"/>
    <w:rsid w:val="00CD47FF"/>
    <w:rsid w:val="00CD4AE5"/>
    <w:rsid w:val="00CD60E0"/>
    <w:rsid w:val="00CD67FF"/>
    <w:rsid w:val="00CD6DFF"/>
    <w:rsid w:val="00CE00D4"/>
    <w:rsid w:val="00CE162D"/>
    <w:rsid w:val="00CE3B3A"/>
    <w:rsid w:val="00CE5149"/>
    <w:rsid w:val="00CE52DF"/>
    <w:rsid w:val="00CE5C13"/>
    <w:rsid w:val="00CE62B5"/>
    <w:rsid w:val="00CE6BFC"/>
    <w:rsid w:val="00CE7B77"/>
    <w:rsid w:val="00CF243C"/>
    <w:rsid w:val="00CF25FF"/>
    <w:rsid w:val="00CF26E1"/>
    <w:rsid w:val="00CF3E43"/>
    <w:rsid w:val="00CF4A61"/>
    <w:rsid w:val="00CF4C86"/>
    <w:rsid w:val="00D002A0"/>
    <w:rsid w:val="00D0065B"/>
    <w:rsid w:val="00D04D5D"/>
    <w:rsid w:val="00D0620C"/>
    <w:rsid w:val="00D07094"/>
    <w:rsid w:val="00D078C1"/>
    <w:rsid w:val="00D113AA"/>
    <w:rsid w:val="00D11728"/>
    <w:rsid w:val="00D12F95"/>
    <w:rsid w:val="00D14D5C"/>
    <w:rsid w:val="00D17553"/>
    <w:rsid w:val="00D20273"/>
    <w:rsid w:val="00D212E4"/>
    <w:rsid w:val="00D22388"/>
    <w:rsid w:val="00D22574"/>
    <w:rsid w:val="00D2273E"/>
    <w:rsid w:val="00D24966"/>
    <w:rsid w:val="00D24EFF"/>
    <w:rsid w:val="00D268AC"/>
    <w:rsid w:val="00D2705F"/>
    <w:rsid w:val="00D27B8B"/>
    <w:rsid w:val="00D303F4"/>
    <w:rsid w:val="00D30D0B"/>
    <w:rsid w:val="00D34F4B"/>
    <w:rsid w:val="00D352AD"/>
    <w:rsid w:val="00D35369"/>
    <w:rsid w:val="00D35E0D"/>
    <w:rsid w:val="00D37BD3"/>
    <w:rsid w:val="00D41B02"/>
    <w:rsid w:val="00D43F3A"/>
    <w:rsid w:val="00D440AE"/>
    <w:rsid w:val="00D4648F"/>
    <w:rsid w:val="00D508BD"/>
    <w:rsid w:val="00D509D3"/>
    <w:rsid w:val="00D51006"/>
    <w:rsid w:val="00D5146B"/>
    <w:rsid w:val="00D524BA"/>
    <w:rsid w:val="00D52C55"/>
    <w:rsid w:val="00D53205"/>
    <w:rsid w:val="00D56654"/>
    <w:rsid w:val="00D6164E"/>
    <w:rsid w:val="00D6247A"/>
    <w:rsid w:val="00D641E3"/>
    <w:rsid w:val="00D645FF"/>
    <w:rsid w:val="00D64925"/>
    <w:rsid w:val="00D64C5E"/>
    <w:rsid w:val="00D66183"/>
    <w:rsid w:val="00D664B7"/>
    <w:rsid w:val="00D668AA"/>
    <w:rsid w:val="00D70C21"/>
    <w:rsid w:val="00D70C5E"/>
    <w:rsid w:val="00D71027"/>
    <w:rsid w:val="00D719AF"/>
    <w:rsid w:val="00D72922"/>
    <w:rsid w:val="00D73964"/>
    <w:rsid w:val="00D73CE6"/>
    <w:rsid w:val="00D779C2"/>
    <w:rsid w:val="00D80EFF"/>
    <w:rsid w:val="00D8159C"/>
    <w:rsid w:val="00D81B69"/>
    <w:rsid w:val="00D83978"/>
    <w:rsid w:val="00D85062"/>
    <w:rsid w:val="00D8552C"/>
    <w:rsid w:val="00D85C3F"/>
    <w:rsid w:val="00D87DA7"/>
    <w:rsid w:val="00D916A1"/>
    <w:rsid w:val="00D9203D"/>
    <w:rsid w:val="00D95D0D"/>
    <w:rsid w:val="00D96382"/>
    <w:rsid w:val="00D97826"/>
    <w:rsid w:val="00DA02F8"/>
    <w:rsid w:val="00DA2016"/>
    <w:rsid w:val="00DA3DCC"/>
    <w:rsid w:val="00DA477D"/>
    <w:rsid w:val="00DA4AA5"/>
    <w:rsid w:val="00DB0CA5"/>
    <w:rsid w:val="00DB5B6B"/>
    <w:rsid w:val="00DB60F8"/>
    <w:rsid w:val="00DB6594"/>
    <w:rsid w:val="00DC0845"/>
    <w:rsid w:val="00DC26A2"/>
    <w:rsid w:val="00DC57CD"/>
    <w:rsid w:val="00DC7BDA"/>
    <w:rsid w:val="00DD3FA2"/>
    <w:rsid w:val="00DD4BB2"/>
    <w:rsid w:val="00DD56D7"/>
    <w:rsid w:val="00DD61D4"/>
    <w:rsid w:val="00DD6526"/>
    <w:rsid w:val="00DD6AD8"/>
    <w:rsid w:val="00DD6B46"/>
    <w:rsid w:val="00DD7878"/>
    <w:rsid w:val="00DD7C97"/>
    <w:rsid w:val="00DE010D"/>
    <w:rsid w:val="00DE1A2E"/>
    <w:rsid w:val="00DE20EF"/>
    <w:rsid w:val="00DE332A"/>
    <w:rsid w:val="00DE51C3"/>
    <w:rsid w:val="00DE5FC6"/>
    <w:rsid w:val="00DF1F40"/>
    <w:rsid w:val="00DF2263"/>
    <w:rsid w:val="00DF32B8"/>
    <w:rsid w:val="00DF37FF"/>
    <w:rsid w:val="00DF5EE8"/>
    <w:rsid w:val="00DF659A"/>
    <w:rsid w:val="00DF68E6"/>
    <w:rsid w:val="00DF6B96"/>
    <w:rsid w:val="00DF7B74"/>
    <w:rsid w:val="00DF7E00"/>
    <w:rsid w:val="00E00BA5"/>
    <w:rsid w:val="00E01BF3"/>
    <w:rsid w:val="00E02FEB"/>
    <w:rsid w:val="00E03041"/>
    <w:rsid w:val="00E0554B"/>
    <w:rsid w:val="00E06176"/>
    <w:rsid w:val="00E07B3F"/>
    <w:rsid w:val="00E07D18"/>
    <w:rsid w:val="00E10CA6"/>
    <w:rsid w:val="00E133E7"/>
    <w:rsid w:val="00E135DC"/>
    <w:rsid w:val="00E1374C"/>
    <w:rsid w:val="00E13F32"/>
    <w:rsid w:val="00E150C0"/>
    <w:rsid w:val="00E1539F"/>
    <w:rsid w:val="00E167F0"/>
    <w:rsid w:val="00E16D68"/>
    <w:rsid w:val="00E17B59"/>
    <w:rsid w:val="00E17C97"/>
    <w:rsid w:val="00E213C4"/>
    <w:rsid w:val="00E21604"/>
    <w:rsid w:val="00E24F72"/>
    <w:rsid w:val="00E25297"/>
    <w:rsid w:val="00E254B9"/>
    <w:rsid w:val="00E25655"/>
    <w:rsid w:val="00E301A0"/>
    <w:rsid w:val="00E30CCE"/>
    <w:rsid w:val="00E34129"/>
    <w:rsid w:val="00E3482E"/>
    <w:rsid w:val="00E34EC3"/>
    <w:rsid w:val="00E35EAF"/>
    <w:rsid w:val="00E35F8B"/>
    <w:rsid w:val="00E3615A"/>
    <w:rsid w:val="00E36920"/>
    <w:rsid w:val="00E37A59"/>
    <w:rsid w:val="00E37D64"/>
    <w:rsid w:val="00E4167E"/>
    <w:rsid w:val="00E41715"/>
    <w:rsid w:val="00E442FD"/>
    <w:rsid w:val="00E4430F"/>
    <w:rsid w:val="00E4771E"/>
    <w:rsid w:val="00E47B8C"/>
    <w:rsid w:val="00E51F25"/>
    <w:rsid w:val="00E51F37"/>
    <w:rsid w:val="00E5222D"/>
    <w:rsid w:val="00E53A99"/>
    <w:rsid w:val="00E546CE"/>
    <w:rsid w:val="00E6067E"/>
    <w:rsid w:val="00E60BEB"/>
    <w:rsid w:val="00E637A6"/>
    <w:rsid w:val="00E63F87"/>
    <w:rsid w:val="00E6425C"/>
    <w:rsid w:val="00E67B48"/>
    <w:rsid w:val="00E70D87"/>
    <w:rsid w:val="00E7141A"/>
    <w:rsid w:val="00E7183F"/>
    <w:rsid w:val="00E73244"/>
    <w:rsid w:val="00E73A7C"/>
    <w:rsid w:val="00E7561B"/>
    <w:rsid w:val="00E771FB"/>
    <w:rsid w:val="00E77A5B"/>
    <w:rsid w:val="00E800BB"/>
    <w:rsid w:val="00E82B53"/>
    <w:rsid w:val="00E838F9"/>
    <w:rsid w:val="00E84331"/>
    <w:rsid w:val="00E84785"/>
    <w:rsid w:val="00E866F6"/>
    <w:rsid w:val="00E86FCE"/>
    <w:rsid w:val="00E87C93"/>
    <w:rsid w:val="00E9027D"/>
    <w:rsid w:val="00E90416"/>
    <w:rsid w:val="00E91A85"/>
    <w:rsid w:val="00E93B3C"/>
    <w:rsid w:val="00E93F29"/>
    <w:rsid w:val="00E9620E"/>
    <w:rsid w:val="00EA0CBC"/>
    <w:rsid w:val="00EA1D5A"/>
    <w:rsid w:val="00EA2E7E"/>
    <w:rsid w:val="00EA4837"/>
    <w:rsid w:val="00EA53CA"/>
    <w:rsid w:val="00EA5502"/>
    <w:rsid w:val="00EA5592"/>
    <w:rsid w:val="00EA7A3F"/>
    <w:rsid w:val="00EA7AD2"/>
    <w:rsid w:val="00EB01C8"/>
    <w:rsid w:val="00EB29AD"/>
    <w:rsid w:val="00EB380C"/>
    <w:rsid w:val="00EB3A7D"/>
    <w:rsid w:val="00EB44D0"/>
    <w:rsid w:val="00EB6927"/>
    <w:rsid w:val="00EB6D73"/>
    <w:rsid w:val="00EB6ECC"/>
    <w:rsid w:val="00EB7C51"/>
    <w:rsid w:val="00EB7F57"/>
    <w:rsid w:val="00EC0441"/>
    <w:rsid w:val="00EC04D0"/>
    <w:rsid w:val="00EC17AE"/>
    <w:rsid w:val="00EC4B79"/>
    <w:rsid w:val="00EC5BED"/>
    <w:rsid w:val="00EC6615"/>
    <w:rsid w:val="00EC665D"/>
    <w:rsid w:val="00EC7189"/>
    <w:rsid w:val="00ED1BAA"/>
    <w:rsid w:val="00ED1D55"/>
    <w:rsid w:val="00ED2086"/>
    <w:rsid w:val="00ED5367"/>
    <w:rsid w:val="00ED5B20"/>
    <w:rsid w:val="00ED5E01"/>
    <w:rsid w:val="00EE0E99"/>
    <w:rsid w:val="00EE657C"/>
    <w:rsid w:val="00EE74F2"/>
    <w:rsid w:val="00EF017C"/>
    <w:rsid w:val="00EF1867"/>
    <w:rsid w:val="00EF231E"/>
    <w:rsid w:val="00EF3F20"/>
    <w:rsid w:val="00EF4181"/>
    <w:rsid w:val="00EF4C2E"/>
    <w:rsid w:val="00EF69B1"/>
    <w:rsid w:val="00F018DA"/>
    <w:rsid w:val="00F038D3"/>
    <w:rsid w:val="00F03D0A"/>
    <w:rsid w:val="00F050C2"/>
    <w:rsid w:val="00F053CF"/>
    <w:rsid w:val="00F057DF"/>
    <w:rsid w:val="00F0682B"/>
    <w:rsid w:val="00F06A39"/>
    <w:rsid w:val="00F06B31"/>
    <w:rsid w:val="00F06CCD"/>
    <w:rsid w:val="00F11A6D"/>
    <w:rsid w:val="00F13B72"/>
    <w:rsid w:val="00F15BD5"/>
    <w:rsid w:val="00F167F6"/>
    <w:rsid w:val="00F20489"/>
    <w:rsid w:val="00F21A56"/>
    <w:rsid w:val="00F21E31"/>
    <w:rsid w:val="00F246B1"/>
    <w:rsid w:val="00F24B64"/>
    <w:rsid w:val="00F24F0C"/>
    <w:rsid w:val="00F26113"/>
    <w:rsid w:val="00F27038"/>
    <w:rsid w:val="00F27517"/>
    <w:rsid w:val="00F303B2"/>
    <w:rsid w:val="00F30E5B"/>
    <w:rsid w:val="00F31328"/>
    <w:rsid w:val="00F31CDE"/>
    <w:rsid w:val="00F31E67"/>
    <w:rsid w:val="00F32C7F"/>
    <w:rsid w:val="00F32FB6"/>
    <w:rsid w:val="00F330D2"/>
    <w:rsid w:val="00F33D45"/>
    <w:rsid w:val="00F3523D"/>
    <w:rsid w:val="00F35681"/>
    <w:rsid w:val="00F35DB6"/>
    <w:rsid w:val="00F37C45"/>
    <w:rsid w:val="00F40EB4"/>
    <w:rsid w:val="00F4169C"/>
    <w:rsid w:val="00F431AD"/>
    <w:rsid w:val="00F446D5"/>
    <w:rsid w:val="00F45E48"/>
    <w:rsid w:val="00F45EE9"/>
    <w:rsid w:val="00F465EE"/>
    <w:rsid w:val="00F46641"/>
    <w:rsid w:val="00F46A69"/>
    <w:rsid w:val="00F516C0"/>
    <w:rsid w:val="00F5176B"/>
    <w:rsid w:val="00F5223B"/>
    <w:rsid w:val="00F52855"/>
    <w:rsid w:val="00F54A8B"/>
    <w:rsid w:val="00F563A5"/>
    <w:rsid w:val="00F56BCE"/>
    <w:rsid w:val="00F57223"/>
    <w:rsid w:val="00F57DB2"/>
    <w:rsid w:val="00F61928"/>
    <w:rsid w:val="00F6280D"/>
    <w:rsid w:val="00F6386C"/>
    <w:rsid w:val="00F63BE4"/>
    <w:rsid w:val="00F64932"/>
    <w:rsid w:val="00F64B3A"/>
    <w:rsid w:val="00F66ED5"/>
    <w:rsid w:val="00F677CD"/>
    <w:rsid w:val="00F67ABC"/>
    <w:rsid w:val="00F67F1E"/>
    <w:rsid w:val="00F7129F"/>
    <w:rsid w:val="00F72BD7"/>
    <w:rsid w:val="00F768FC"/>
    <w:rsid w:val="00F7786D"/>
    <w:rsid w:val="00F80DE7"/>
    <w:rsid w:val="00F841B2"/>
    <w:rsid w:val="00F84B7A"/>
    <w:rsid w:val="00F84CEA"/>
    <w:rsid w:val="00F87213"/>
    <w:rsid w:val="00F87489"/>
    <w:rsid w:val="00F879F1"/>
    <w:rsid w:val="00F90955"/>
    <w:rsid w:val="00F9099D"/>
    <w:rsid w:val="00F90FC1"/>
    <w:rsid w:val="00F92D34"/>
    <w:rsid w:val="00F9417C"/>
    <w:rsid w:val="00F9551F"/>
    <w:rsid w:val="00FA0165"/>
    <w:rsid w:val="00FA0783"/>
    <w:rsid w:val="00FA0B02"/>
    <w:rsid w:val="00FA2D75"/>
    <w:rsid w:val="00FA6009"/>
    <w:rsid w:val="00FA6B49"/>
    <w:rsid w:val="00FA7DA9"/>
    <w:rsid w:val="00FB0A60"/>
    <w:rsid w:val="00FB0F5C"/>
    <w:rsid w:val="00FB1570"/>
    <w:rsid w:val="00FB2A2C"/>
    <w:rsid w:val="00FB2AEB"/>
    <w:rsid w:val="00FB2AF5"/>
    <w:rsid w:val="00FB2FE5"/>
    <w:rsid w:val="00FB3849"/>
    <w:rsid w:val="00FB5DC2"/>
    <w:rsid w:val="00FB60B0"/>
    <w:rsid w:val="00FB7491"/>
    <w:rsid w:val="00FB74C9"/>
    <w:rsid w:val="00FB751E"/>
    <w:rsid w:val="00FB79DF"/>
    <w:rsid w:val="00FC0469"/>
    <w:rsid w:val="00FC0E0E"/>
    <w:rsid w:val="00FC1B4A"/>
    <w:rsid w:val="00FC1B7C"/>
    <w:rsid w:val="00FC3172"/>
    <w:rsid w:val="00FC3F5F"/>
    <w:rsid w:val="00FC5758"/>
    <w:rsid w:val="00FC5FE2"/>
    <w:rsid w:val="00FC6420"/>
    <w:rsid w:val="00FC7197"/>
    <w:rsid w:val="00FD058F"/>
    <w:rsid w:val="00FD1673"/>
    <w:rsid w:val="00FD1E50"/>
    <w:rsid w:val="00FD2B41"/>
    <w:rsid w:val="00FD4CA0"/>
    <w:rsid w:val="00FD605F"/>
    <w:rsid w:val="00FD6B79"/>
    <w:rsid w:val="00FD7712"/>
    <w:rsid w:val="00FD7C64"/>
    <w:rsid w:val="00FD7F34"/>
    <w:rsid w:val="00FE0DC2"/>
    <w:rsid w:val="00FE23E4"/>
    <w:rsid w:val="00FE38C1"/>
    <w:rsid w:val="00FE530F"/>
    <w:rsid w:val="00FE55BA"/>
    <w:rsid w:val="00FE5FF5"/>
    <w:rsid w:val="00FE6F0B"/>
    <w:rsid w:val="00FE7439"/>
    <w:rsid w:val="00FE7670"/>
    <w:rsid w:val="00FF03FE"/>
    <w:rsid w:val="00FF1528"/>
    <w:rsid w:val="00FF16FE"/>
    <w:rsid w:val="00FF18EC"/>
    <w:rsid w:val="00FF22FE"/>
    <w:rsid w:val="00FF3A4B"/>
    <w:rsid w:val="00FF3EE2"/>
    <w:rsid w:val="00FF3FFB"/>
    <w:rsid w:val="00FF420D"/>
    <w:rsid w:val="00FF4E1F"/>
    <w:rsid w:val="00FF5180"/>
    <w:rsid w:val="00FF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6B5F"/>
  <w15:docId w15:val="{0E0C3969-250B-44A6-A4DF-FA58738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D7F"/>
    <w:pPr>
      <w:ind w:firstLine="708"/>
      <w:jc w:val="both"/>
    </w:pPr>
    <w:rPr>
      <w:rFonts w:ascii="Times New Roman" w:hAnsi="Times New Roman" w:cs="Times New Roman"/>
      <w:lang w:eastAsia="ru-RU"/>
    </w:rPr>
  </w:style>
  <w:style w:type="paragraph" w:styleId="1">
    <w:name w:val="heading 1"/>
    <w:basedOn w:val="a0"/>
    <w:next w:val="a"/>
    <w:link w:val="10"/>
    <w:uiPriority w:val="9"/>
    <w:qFormat/>
    <w:rsid w:val="0063073C"/>
    <w:pPr>
      <w:numPr>
        <w:numId w:val="1"/>
      </w:numPr>
      <w:outlineLvl w:val="0"/>
    </w:pPr>
    <w:rPr>
      <w:b/>
      <w:sz w:val="28"/>
      <w:szCs w:val="28"/>
    </w:rPr>
  </w:style>
  <w:style w:type="paragraph" w:styleId="2">
    <w:name w:val="heading 2"/>
    <w:basedOn w:val="a0"/>
    <w:next w:val="a"/>
    <w:link w:val="20"/>
    <w:uiPriority w:val="8"/>
    <w:unhideWhenUsed/>
    <w:qFormat/>
    <w:rsid w:val="0063073C"/>
    <w:pPr>
      <w:numPr>
        <w:ilvl w:val="1"/>
        <w:numId w:val="1"/>
      </w:numPr>
      <w:outlineLvl w:val="1"/>
    </w:pPr>
    <w:rPr>
      <w:b/>
      <w:sz w:val="28"/>
      <w:szCs w:val="28"/>
    </w:rPr>
  </w:style>
  <w:style w:type="paragraph" w:styleId="3">
    <w:name w:val="heading 3"/>
    <w:basedOn w:val="2"/>
    <w:next w:val="a"/>
    <w:link w:val="30"/>
    <w:uiPriority w:val="8"/>
    <w:unhideWhenUsed/>
    <w:qFormat/>
    <w:rsid w:val="00043D92"/>
    <w:pPr>
      <w:numPr>
        <w:ilvl w:val="2"/>
      </w:numPr>
      <w:outlineLvl w:val="2"/>
    </w:pPr>
    <w:rPr>
      <w:i/>
      <w:sz w:val="24"/>
      <w:szCs w:val="24"/>
    </w:rPr>
  </w:style>
  <w:style w:type="paragraph" w:styleId="4">
    <w:name w:val="heading 4"/>
    <w:basedOn w:val="3"/>
    <w:next w:val="a"/>
    <w:link w:val="40"/>
    <w:uiPriority w:val="9"/>
    <w:unhideWhenUsed/>
    <w:qFormat/>
    <w:rsid w:val="008B2CB1"/>
    <w:pPr>
      <w:numPr>
        <w:ilvl w:val="3"/>
      </w:numPr>
      <w:outlineLvl w:val="3"/>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Варианты ответов,Абзац списка11"/>
    <w:basedOn w:val="a"/>
    <w:link w:val="a4"/>
    <w:uiPriority w:val="34"/>
    <w:qFormat/>
    <w:rsid w:val="00837C89"/>
    <w:pPr>
      <w:ind w:left="720"/>
      <w:contextualSpacing/>
    </w:pPr>
  </w:style>
  <w:style w:type="character" w:customStyle="1" w:styleId="a4">
    <w:name w:val="Абзац списка Знак"/>
    <w:aliases w:val="Варианты ответов Знак,Абзац списка11 Знак"/>
    <w:link w:val="a0"/>
    <w:rsid w:val="00C84A06"/>
  </w:style>
  <w:style w:type="character" w:customStyle="1" w:styleId="10">
    <w:name w:val="Заголовок 1 Знак"/>
    <w:basedOn w:val="a1"/>
    <w:link w:val="1"/>
    <w:uiPriority w:val="9"/>
    <w:rsid w:val="0063073C"/>
    <w:rPr>
      <w:rFonts w:ascii="Times New Roman" w:hAnsi="Times New Roman" w:cs="Times New Roman"/>
      <w:b/>
      <w:sz w:val="28"/>
      <w:szCs w:val="28"/>
      <w:lang w:eastAsia="ru-RU"/>
    </w:rPr>
  </w:style>
  <w:style w:type="character" w:customStyle="1" w:styleId="20">
    <w:name w:val="Заголовок 2 Знак"/>
    <w:basedOn w:val="a1"/>
    <w:link w:val="2"/>
    <w:uiPriority w:val="8"/>
    <w:rsid w:val="0063073C"/>
    <w:rPr>
      <w:rFonts w:ascii="Times New Roman" w:hAnsi="Times New Roman" w:cs="Times New Roman"/>
      <w:b/>
      <w:sz w:val="28"/>
      <w:szCs w:val="28"/>
      <w:lang w:eastAsia="ru-RU"/>
    </w:rPr>
  </w:style>
  <w:style w:type="paragraph" w:styleId="a5">
    <w:name w:val="footer"/>
    <w:basedOn w:val="a"/>
    <w:link w:val="a6"/>
    <w:uiPriority w:val="99"/>
    <w:unhideWhenUsed/>
    <w:rsid w:val="00AA4493"/>
    <w:pPr>
      <w:tabs>
        <w:tab w:val="center" w:pos="4677"/>
        <w:tab w:val="right" w:pos="9355"/>
      </w:tabs>
    </w:pPr>
  </w:style>
  <w:style w:type="character" w:customStyle="1" w:styleId="a6">
    <w:name w:val="Нижний колонтитул Знак"/>
    <w:basedOn w:val="a1"/>
    <w:link w:val="a5"/>
    <w:uiPriority w:val="99"/>
    <w:rsid w:val="00AA4493"/>
  </w:style>
  <w:style w:type="character" w:styleId="a7">
    <w:name w:val="page number"/>
    <w:basedOn w:val="a1"/>
    <w:uiPriority w:val="99"/>
    <w:semiHidden/>
    <w:unhideWhenUsed/>
    <w:rsid w:val="00AA4493"/>
  </w:style>
  <w:style w:type="paragraph" w:styleId="11">
    <w:name w:val="toc 1"/>
    <w:basedOn w:val="a"/>
    <w:next w:val="a"/>
    <w:autoRedefine/>
    <w:uiPriority w:val="39"/>
    <w:unhideWhenUsed/>
    <w:rsid w:val="00AA4493"/>
  </w:style>
  <w:style w:type="paragraph" w:styleId="21">
    <w:name w:val="toc 2"/>
    <w:basedOn w:val="a"/>
    <w:next w:val="a"/>
    <w:autoRedefine/>
    <w:uiPriority w:val="39"/>
    <w:unhideWhenUsed/>
    <w:rsid w:val="00AA4493"/>
    <w:pPr>
      <w:ind w:left="240"/>
    </w:pPr>
  </w:style>
  <w:style w:type="paragraph" w:styleId="31">
    <w:name w:val="toc 3"/>
    <w:basedOn w:val="a"/>
    <w:next w:val="a"/>
    <w:autoRedefine/>
    <w:uiPriority w:val="39"/>
    <w:unhideWhenUsed/>
    <w:rsid w:val="00AA4493"/>
    <w:pPr>
      <w:ind w:left="480"/>
    </w:pPr>
  </w:style>
  <w:style w:type="paragraph" w:styleId="41">
    <w:name w:val="toc 4"/>
    <w:basedOn w:val="a"/>
    <w:next w:val="a"/>
    <w:autoRedefine/>
    <w:uiPriority w:val="39"/>
    <w:unhideWhenUsed/>
    <w:rsid w:val="00AA4493"/>
    <w:pPr>
      <w:ind w:left="720"/>
    </w:pPr>
  </w:style>
  <w:style w:type="paragraph" w:styleId="5">
    <w:name w:val="toc 5"/>
    <w:basedOn w:val="a"/>
    <w:next w:val="a"/>
    <w:autoRedefine/>
    <w:uiPriority w:val="39"/>
    <w:unhideWhenUsed/>
    <w:rsid w:val="00AA4493"/>
    <w:pPr>
      <w:ind w:left="960"/>
    </w:pPr>
  </w:style>
  <w:style w:type="paragraph" w:styleId="6">
    <w:name w:val="toc 6"/>
    <w:basedOn w:val="a"/>
    <w:next w:val="a"/>
    <w:autoRedefine/>
    <w:uiPriority w:val="39"/>
    <w:unhideWhenUsed/>
    <w:rsid w:val="00AA4493"/>
    <w:pPr>
      <w:ind w:left="1200"/>
    </w:pPr>
  </w:style>
  <w:style w:type="paragraph" w:styleId="7">
    <w:name w:val="toc 7"/>
    <w:basedOn w:val="a"/>
    <w:next w:val="a"/>
    <w:autoRedefine/>
    <w:uiPriority w:val="39"/>
    <w:unhideWhenUsed/>
    <w:rsid w:val="00AA4493"/>
    <w:pPr>
      <w:ind w:left="1440"/>
    </w:pPr>
  </w:style>
  <w:style w:type="paragraph" w:styleId="8">
    <w:name w:val="toc 8"/>
    <w:basedOn w:val="a"/>
    <w:next w:val="a"/>
    <w:autoRedefine/>
    <w:uiPriority w:val="39"/>
    <w:unhideWhenUsed/>
    <w:rsid w:val="00AA4493"/>
    <w:pPr>
      <w:ind w:left="1680"/>
    </w:pPr>
  </w:style>
  <w:style w:type="paragraph" w:styleId="9">
    <w:name w:val="toc 9"/>
    <w:basedOn w:val="a"/>
    <w:next w:val="a"/>
    <w:autoRedefine/>
    <w:uiPriority w:val="39"/>
    <w:unhideWhenUsed/>
    <w:rsid w:val="00AA4493"/>
    <w:pPr>
      <w:ind w:left="1920"/>
    </w:pPr>
  </w:style>
  <w:style w:type="character" w:styleId="a8">
    <w:name w:val="Hyperlink"/>
    <w:basedOn w:val="a1"/>
    <w:uiPriority w:val="99"/>
    <w:unhideWhenUsed/>
    <w:rsid w:val="00AA4493"/>
    <w:rPr>
      <w:color w:val="0563C1" w:themeColor="hyperlink"/>
      <w:u w:val="single"/>
    </w:rPr>
  </w:style>
  <w:style w:type="character" w:customStyle="1" w:styleId="dropcap">
    <w:name w:val="dropcap"/>
    <w:rsid w:val="00CE3B3A"/>
  </w:style>
  <w:style w:type="paragraph" w:styleId="a9">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a"/>
    <w:uiPriority w:val="99"/>
    <w:unhideWhenUsed/>
    <w:rsid w:val="00CC7C53"/>
    <w:pPr>
      <w:spacing w:before="100" w:beforeAutospacing="1" w:after="100" w:afterAutospacing="1"/>
      <w:ind w:firstLine="0"/>
      <w:jc w:val="left"/>
    </w:pPr>
  </w:style>
  <w:style w:type="table" w:styleId="ab">
    <w:name w:val="Table Grid"/>
    <w:basedOn w:val="a2"/>
    <w:uiPriority w:val="39"/>
    <w:rsid w:val="00070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A2E76"/>
    <w:pPr>
      <w:widowControl w:val="0"/>
      <w:autoSpaceDE w:val="0"/>
      <w:autoSpaceDN w:val="0"/>
      <w:adjustRightInd w:val="0"/>
      <w:ind w:firstLine="720"/>
    </w:pPr>
    <w:rPr>
      <w:rFonts w:ascii="Arial" w:eastAsia="Times New Roman" w:hAnsi="Arial" w:cs="Arial"/>
      <w:sz w:val="20"/>
      <w:szCs w:val="20"/>
      <w:lang w:eastAsia="ru-RU"/>
    </w:rPr>
  </w:style>
  <w:style w:type="paragraph" w:styleId="ac">
    <w:name w:val="caption"/>
    <w:basedOn w:val="a"/>
    <w:next w:val="a"/>
    <w:uiPriority w:val="35"/>
    <w:unhideWhenUsed/>
    <w:qFormat/>
    <w:rsid w:val="009D029D"/>
    <w:rPr>
      <w:b/>
    </w:rPr>
  </w:style>
  <w:style w:type="paragraph" w:customStyle="1" w:styleId="ConsPlusNormal">
    <w:name w:val="ConsPlusNormal"/>
    <w:rsid w:val="009D029D"/>
    <w:pPr>
      <w:autoSpaceDE w:val="0"/>
      <w:autoSpaceDN w:val="0"/>
      <w:adjustRightInd w:val="0"/>
    </w:pPr>
    <w:rPr>
      <w:rFonts w:ascii="Times New Roman" w:eastAsia="Calibri" w:hAnsi="Times New Roman" w:cs="Times New Roman"/>
      <w:sz w:val="26"/>
      <w:szCs w:val="26"/>
      <w:lang w:eastAsia="ru-RU"/>
    </w:rPr>
  </w:style>
  <w:style w:type="character" w:customStyle="1" w:styleId="style161">
    <w:name w:val="style161"/>
    <w:uiPriority w:val="99"/>
    <w:rsid w:val="0071424E"/>
    <w:rPr>
      <w:rFonts w:cs="Times New Roman"/>
      <w:color w:val="464646"/>
    </w:rPr>
  </w:style>
  <w:style w:type="paragraph" w:customStyle="1" w:styleId="-">
    <w:name w:val="- Список"/>
    <w:basedOn w:val="a"/>
    <w:qFormat/>
    <w:rsid w:val="0071424E"/>
    <w:pPr>
      <w:contextualSpacing/>
    </w:pPr>
    <w:rPr>
      <w:rFonts w:eastAsia="Times New Roman"/>
      <w:sz w:val="26"/>
      <w:szCs w:val="26"/>
    </w:rPr>
  </w:style>
  <w:style w:type="character" w:customStyle="1" w:styleId="apple-converted-space">
    <w:name w:val="apple-converted-space"/>
    <w:rsid w:val="008B192B"/>
  </w:style>
  <w:style w:type="paragraph" w:customStyle="1" w:styleId="S4">
    <w:name w:val="S_Заголовок 4"/>
    <w:basedOn w:val="4"/>
    <w:rsid w:val="008B192B"/>
    <w:pPr>
      <w:numPr>
        <w:numId w:val="5"/>
      </w:numPr>
      <w:ind w:left="1440" w:hanging="1080"/>
    </w:pPr>
    <w:rPr>
      <w:rFonts w:eastAsia="Times New Roman"/>
      <w:iCs/>
      <w:sz w:val="20"/>
      <w:szCs w:val="20"/>
      <w:lang w:val="x-none" w:eastAsia="x-none"/>
    </w:rPr>
  </w:style>
  <w:style w:type="character" w:customStyle="1" w:styleId="40">
    <w:name w:val="Заголовок 4 Знак"/>
    <w:basedOn w:val="a1"/>
    <w:link w:val="4"/>
    <w:uiPriority w:val="9"/>
    <w:rsid w:val="008B2CB1"/>
    <w:rPr>
      <w:rFonts w:ascii="Times New Roman" w:hAnsi="Times New Roman" w:cs="Times New Roman"/>
      <w:i/>
      <w:lang w:eastAsia="ru-RU"/>
    </w:rPr>
  </w:style>
  <w:style w:type="character" w:customStyle="1" w:styleId="aa">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
    <w:link w:val="a9"/>
    <w:uiPriority w:val="99"/>
    <w:locked/>
    <w:rsid w:val="00E21604"/>
    <w:rPr>
      <w:rFonts w:ascii="Times New Roman" w:hAnsi="Times New Roman" w:cs="Times New Roman"/>
      <w:lang w:eastAsia="ru-RU"/>
    </w:rPr>
  </w:style>
  <w:style w:type="paragraph" w:customStyle="1" w:styleId="formattext">
    <w:name w:val="formattext"/>
    <w:basedOn w:val="a"/>
    <w:rsid w:val="00AA1CB9"/>
    <w:pPr>
      <w:spacing w:before="100" w:beforeAutospacing="1" w:after="100" w:afterAutospacing="1"/>
      <w:ind w:firstLine="0"/>
      <w:jc w:val="left"/>
    </w:pPr>
    <w:rPr>
      <w:rFonts w:eastAsia="Times New Roman"/>
    </w:rPr>
  </w:style>
  <w:style w:type="paragraph" w:styleId="ad">
    <w:name w:val="No Spacing"/>
    <w:link w:val="ae"/>
    <w:qFormat/>
    <w:rsid w:val="002279D0"/>
    <w:pPr>
      <w:jc w:val="both"/>
    </w:pPr>
    <w:rPr>
      <w:rFonts w:ascii="Times New Roman" w:eastAsia="Times New Roman" w:hAnsi="Times New Roman" w:cs="Times New Roman"/>
      <w:sz w:val="28"/>
      <w:szCs w:val="22"/>
      <w:lang w:eastAsia="ru-RU"/>
    </w:rPr>
  </w:style>
  <w:style w:type="character" w:customStyle="1" w:styleId="ae">
    <w:name w:val="Без интервала Знак"/>
    <w:link w:val="ad"/>
    <w:locked/>
    <w:rsid w:val="002279D0"/>
    <w:rPr>
      <w:rFonts w:ascii="Times New Roman" w:eastAsia="Times New Roman" w:hAnsi="Times New Roman" w:cs="Times New Roman"/>
      <w:sz w:val="28"/>
      <w:szCs w:val="22"/>
      <w:lang w:eastAsia="ru-RU"/>
    </w:rPr>
  </w:style>
  <w:style w:type="paragraph" w:styleId="22">
    <w:name w:val="Body Text 2"/>
    <w:basedOn w:val="a"/>
    <w:link w:val="23"/>
    <w:uiPriority w:val="99"/>
    <w:rsid w:val="002279D0"/>
    <w:pPr>
      <w:spacing w:after="120" w:line="480" w:lineRule="auto"/>
      <w:ind w:firstLine="0"/>
    </w:pPr>
    <w:rPr>
      <w:rFonts w:eastAsia="Times New Roman"/>
      <w:sz w:val="20"/>
      <w:szCs w:val="20"/>
      <w:lang w:val="x-none"/>
    </w:rPr>
  </w:style>
  <w:style w:type="character" w:customStyle="1" w:styleId="23">
    <w:name w:val="Основной текст 2 Знак"/>
    <w:basedOn w:val="a1"/>
    <w:link w:val="22"/>
    <w:uiPriority w:val="99"/>
    <w:rsid w:val="002279D0"/>
    <w:rPr>
      <w:rFonts w:ascii="Times New Roman" w:eastAsia="Times New Roman" w:hAnsi="Times New Roman" w:cs="Times New Roman"/>
      <w:sz w:val="20"/>
      <w:szCs w:val="20"/>
      <w:lang w:val="x-none" w:eastAsia="ru-RU"/>
    </w:rPr>
  </w:style>
  <w:style w:type="paragraph" w:customStyle="1" w:styleId="12">
    <w:name w:val="Без интервала1"/>
    <w:rsid w:val="002279D0"/>
    <w:rPr>
      <w:rFonts w:ascii="Calibri" w:eastAsia="Times New Roman" w:hAnsi="Calibri" w:cs="Times New Roman"/>
      <w:sz w:val="22"/>
      <w:szCs w:val="22"/>
    </w:rPr>
  </w:style>
  <w:style w:type="paragraph" w:styleId="af">
    <w:name w:val="header"/>
    <w:basedOn w:val="a"/>
    <w:link w:val="af0"/>
    <w:uiPriority w:val="99"/>
    <w:unhideWhenUsed/>
    <w:rsid w:val="00D668AA"/>
    <w:pPr>
      <w:tabs>
        <w:tab w:val="center" w:pos="4677"/>
        <w:tab w:val="right" w:pos="9355"/>
      </w:tabs>
    </w:pPr>
  </w:style>
  <w:style w:type="character" w:customStyle="1" w:styleId="af0">
    <w:name w:val="Верхний колонтитул Знак"/>
    <w:basedOn w:val="a1"/>
    <w:link w:val="af"/>
    <w:uiPriority w:val="99"/>
    <w:rsid w:val="00D668AA"/>
    <w:rPr>
      <w:rFonts w:ascii="Times New Roman" w:hAnsi="Times New Roman" w:cs="Times New Roman"/>
    </w:rPr>
  </w:style>
  <w:style w:type="paragraph" w:customStyle="1" w:styleId="Default">
    <w:name w:val="Default"/>
    <w:uiPriority w:val="99"/>
    <w:rsid w:val="004B28A6"/>
    <w:pPr>
      <w:autoSpaceDE w:val="0"/>
      <w:autoSpaceDN w:val="0"/>
      <w:adjustRightInd w:val="0"/>
    </w:pPr>
    <w:rPr>
      <w:rFonts w:ascii="Times New Roman" w:eastAsia="Calibri" w:hAnsi="Times New Roman" w:cs="Times New Roman"/>
      <w:color w:val="000000"/>
    </w:rPr>
  </w:style>
  <w:style w:type="character" w:customStyle="1" w:styleId="30">
    <w:name w:val="Заголовок 3 Знак"/>
    <w:basedOn w:val="a1"/>
    <w:link w:val="3"/>
    <w:uiPriority w:val="8"/>
    <w:rsid w:val="00043D92"/>
    <w:rPr>
      <w:rFonts w:ascii="Times New Roman" w:hAnsi="Times New Roman" w:cs="Times New Roman"/>
      <w:b/>
      <w:i/>
      <w:lang w:eastAsia="ru-RU"/>
    </w:rPr>
  </w:style>
  <w:style w:type="paragraph" w:customStyle="1" w:styleId="af1">
    <w:name w:val="Тело"/>
    <w:qFormat/>
    <w:rsid w:val="00995CA0"/>
    <w:pPr>
      <w:spacing w:line="360" w:lineRule="auto"/>
      <w:ind w:firstLine="709"/>
      <w:jc w:val="both"/>
    </w:pPr>
    <w:rPr>
      <w:rFonts w:ascii="Times New Roman" w:hAnsi="Times New Roman" w:cs="Times New Roman"/>
      <w:sz w:val="28"/>
      <w:szCs w:val="28"/>
    </w:rPr>
  </w:style>
  <w:style w:type="character" w:customStyle="1" w:styleId="s1">
    <w:name w:val="s1"/>
    <w:basedOn w:val="a1"/>
    <w:rsid w:val="003C63BC"/>
  </w:style>
  <w:style w:type="character" w:customStyle="1" w:styleId="dd-postheadericon">
    <w:name w:val="dd-postheadericon"/>
    <w:rsid w:val="00A80B6A"/>
  </w:style>
  <w:style w:type="paragraph" w:styleId="af2">
    <w:name w:val="Body Text"/>
    <w:basedOn w:val="a"/>
    <w:link w:val="af3"/>
    <w:uiPriority w:val="99"/>
    <w:semiHidden/>
    <w:unhideWhenUsed/>
    <w:rsid w:val="005C254E"/>
    <w:pPr>
      <w:spacing w:after="120"/>
    </w:pPr>
  </w:style>
  <w:style w:type="character" w:customStyle="1" w:styleId="af3">
    <w:name w:val="Основной текст Знак"/>
    <w:basedOn w:val="a1"/>
    <w:link w:val="af2"/>
    <w:uiPriority w:val="99"/>
    <w:semiHidden/>
    <w:rsid w:val="005C254E"/>
    <w:rPr>
      <w:rFonts w:ascii="Times New Roman" w:hAnsi="Times New Roman" w:cs="Times New Roman"/>
    </w:rPr>
  </w:style>
  <w:style w:type="character" w:styleId="af4">
    <w:name w:val="Emphasis"/>
    <w:basedOn w:val="a1"/>
    <w:uiPriority w:val="20"/>
    <w:qFormat/>
    <w:rsid w:val="000A66E3"/>
    <w:rPr>
      <w:i/>
      <w:iCs/>
    </w:rPr>
  </w:style>
  <w:style w:type="paragraph" w:customStyle="1" w:styleId="af5">
    <w:name w:val="Абзац"/>
    <w:link w:val="af6"/>
    <w:qFormat/>
    <w:rsid w:val="00CB271E"/>
    <w:pPr>
      <w:spacing w:before="120" w:after="60"/>
      <w:ind w:firstLine="567"/>
      <w:jc w:val="both"/>
    </w:pPr>
    <w:rPr>
      <w:rFonts w:ascii="Times New Roman" w:eastAsia="Times New Roman" w:hAnsi="Times New Roman" w:cs="Times New Roman"/>
      <w:lang w:eastAsia="ru-RU"/>
    </w:rPr>
  </w:style>
  <w:style w:type="character" w:customStyle="1" w:styleId="af6">
    <w:name w:val="Абзац Знак"/>
    <w:basedOn w:val="a1"/>
    <w:link w:val="af5"/>
    <w:locked/>
    <w:rsid w:val="00CB271E"/>
    <w:rPr>
      <w:rFonts w:ascii="Times New Roman" w:eastAsia="Times New Roman" w:hAnsi="Times New Roman" w:cs="Times New Roman"/>
      <w:lang w:eastAsia="ru-RU"/>
    </w:rPr>
  </w:style>
  <w:style w:type="paragraph" w:customStyle="1" w:styleId="text-splitter-active">
    <w:name w:val="text-splitter-active"/>
    <w:basedOn w:val="a"/>
    <w:rsid w:val="00F20489"/>
    <w:pPr>
      <w:spacing w:before="100" w:beforeAutospacing="1" w:after="100" w:afterAutospacing="1"/>
    </w:pPr>
  </w:style>
  <w:style w:type="paragraph" w:customStyle="1" w:styleId="af7">
    <w:name w:val="Таблицы"/>
    <w:basedOn w:val="a"/>
    <w:qFormat/>
    <w:rsid w:val="00EE74F2"/>
    <w:pPr>
      <w:ind w:firstLine="0"/>
    </w:pPr>
    <w:rPr>
      <w:sz w:val="20"/>
    </w:rPr>
  </w:style>
  <w:style w:type="paragraph" w:styleId="af8">
    <w:name w:val="List"/>
    <w:basedOn w:val="a"/>
    <w:uiPriority w:val="99"/>
    <w:rsid w:val="00CD47FF"/>
    <w:pPr>
      <w:widowControl w:val="0"/>
      <w:ind w:left="283" w:hanging="283"/>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8857">
      <w:bodyDiv w:val="1"/>
      <w:marLeft w:val="0"/>
      <w:marRight w:val="0"/>
      <w:marTop w:val="0"/>
      <w:marBottom w:val="0"/>
      <w:divBdr>
        <w:top w:val="none" w:sz="0" w:space="0" w:color="auto"/>
        <w:left w:val="none" w:sz="0" w:space="0" w:color="auto"/>
        <w:bottom w:val="none" w:sz="0" w:space="0" w:color="auto"/>
        <w:right w:val="none" w:sz="0" w:space="0" w:color="auto"/>
      </w:divBdr>
    </w:div>
    <w:div w:id="45375602">
      <w:bodyDiv w:val="1"/>
      <w:marLeft w:val="0"/>
      <w:marRight w:val="0"/>
      <w:marTop w:val="0"/>
      <w:marBottom w:val="0"/>
      <w:divBdr>
        <w:top w:val="none" w:sz="0" w:space="0" w:color="auto"/>
        <w:left w:val="none" w:sz="0" w:space="0" w:color="auto"/>
        <w:bottom w:val="none" w:sz="0" w:space="0" w:color="auto"/>
        <w:right w:val="none" w:sz="0" w:space="0" w:color="auto"/>
      </w:divBdr>
    </w:div>
    <w:div w:id="107436213">
      <w:bodyDiv w:val="1"/>
      <w:marLeft w:val="0"/>
      <w:marRight w:val="0"/>
      <w:marTop w:val="0"/>
      <w:marBottom w:val="0"/>
      <w:divBdr>
        <w:top w:val="none" w:sz="0" w:space="0" w:color="auto"/>
        <w:left w:val="none" w:sz="0" w:space="0" w:color="auto"/>
        <w:bottom w:val="none" w:sz="0" w:space="0" w:color="auto"/>
        <w:right w:val="none" w:sz="0" w:space="0" w:color="auto"/>
      </w:divBdr>
    </w:div>
    <w:div w:id="107938014">
      <w:bodyDiv w:val="1"/>
      <w:marLeft w:val="0"/>
      <w:marRight w:val="0"/>
      <w:marTop w:val="0"/>
      <w:marBottom w:val="0"/>
      <w:divBdr>
        <w:top w:val="none" w:sz="0" w:space="0" w:color="auto"/>
        <w:left w:val="none" w:sz="0" w:space="0" w:color="auto"/>
        <w:bottom w:val="none" w:sz="0" w:space="0" w:color="auto"/>
        <w:right w:val="none" w:sz="0" w:space="0" w:color="auto"/>
      </w:divBdr>
    </w:div>
    <w:div w:id="130172682">
      <w:bodyDiv w:val="1"/>
      <w:marLeft w:val="0"/>
      <w:marRight w:val="0"/>
      <w:marTop w:val="0"/>
      <w:marBottom w:val="0"/>
      <w:divBdr>
        <w:top w:val="none" w:sz="0" w:space="0" w:color="auto"/>
        <w:left w:val="none" w:sz="0" w:space="0" w:color="auto"/>
        <w:bottom w:val="none" w:sz="0" w:space="0" w:color="auto"/>
        <w:right w:val="none" w:sz="0" w:space="0" w:color="auto"/>
      </w:divBdr>
    </w:div>
    <w:div w:id="137038544">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691490455">
          <w:marLeft w:val="0"/>
          <w:marRight w:val="0"/>
          <w:marTop w:val="0"/>
          <w:marBottom w:val="0"/>
          <w:divBdr>
            <w:top w:val="none" w:sz="0" w:space="0" w:color="auto"/>
            <w:left w:val="none" w:sz="0" w:space="0" w:color="auto"/>
            <w:bottom w:val="none" w:sz="0" w:space="0" w:color="auto"/>
            <w:right w:val="none" w:sz="0" w:space="0" w:color="auto"/>
          </w:divBdr>
          <w:divsChild>
            <w:div w:id="885607514">
              <w:marLeft w:val="0"/>
              <w:marRight w:val="0"/>
              <w:marTop w:val="0"/>
              <w:marBottom w:val="0"/>
              <w:divBdr>
                <w:top w:val="none" w:sz="0" w:space="0" w:color="auto"/>
                <w:left w:val="none" w:sz="0" w:space="0" w:color="auto"/>
                <w:bottom w:val="none" w:sz="0" w:space="0" w:color="auto"/>
                <w:right w:val="none" w:sz="0" w:space="0" w:color="auto"/>
              </w:divBdr>
              <w:divsChild>
                <w:div w:id="194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7082">
      <w:bodyDiv w:val="1"/>
      <w:marLeft w:val="0"/>
      <w:marRight w:val="0"/>
      <w:marTop w:val="0"/>
      <w:marBottom w:val="0"/>
      <w:divBdr>
        <w:top w:val="none" w:sz="0" w:space="0" w:color="auto"/>
        <w:left w:val="none" w:sz="0" w:space="0" w:color="auto"/>
        <w:bottom w:val="none" w:sz="0" w:space="0" w:color="auto"/>
        <w:right w:val="none" w:sz="0" w:space="0" w:color="auto"/>
      </w:divBdr>
    </w:div>
    <w:div w:id="342245014">
      <w:bodyDiv w:val="1"/>
      <w:marLeft w:val="0"/>
      <w:marRight w:val="0"/>
      <w:marTop w:val="0"/>
      <w:marBottom w:val="0"/>
      <w:divBdr>
        <w:top w:val="none" w:sz="0" w:space="0" w:color="auto"/>
        <w:left w:val="none" w:sz="0" w:space="0" w:color="auto"/>
        <w:bottom w:val="none" w:sz="0" w:space="0" w:color="auto"/>
        <w:right w:val="none" w:sz="0" w:space="0" w:color="auto"/>
      </w:divBdr>
      <w:divsChild>
        <w:div w:id="1464076970">
          <w:marLeft w:val="0"/>
          <w:marRight w:val="0"/>
          <w:marTop w:val="0"/>
          <w:marBottom w:val="0"/>
          <w:divBdr>
            <w:top w:val="none" w:sz="0" w:space="0" w:color="auto"/>
            <w:left w:val="none" w:sz="0" w:space="0" w:color="auto"/>
            <w:bottom w:val="none" w:sz="0" w:space="0" w:color="auto"/>
            <w:right w:val="none" w:sz="0" w:space="0" w:color="auto"/>
          </w:divBdr>
          <w:divsChild>
            <w:div w:id="459613863">
              <w:marLeft w:val="0"/>
              <w:marRight w:val="0"/>
              <w:marTop w:val="0"/>
              <w:marBottom w:val="0"/>
              <w:divBdr>
                <w:top w:val="none" w:sz="0" w:space="0" w:color="auto"/>
                <w:left w:val="none" w:sz="0" w:space="0" w:color="auto"/>
                <w:bottom w:val="none" w:sz="0" w:space="0" w:color="auto"/>
                <w:right w:val="none" w:sz="0" w:space="0" w:color="auto"/>
              </w:divBdr>
              <w:divsChild>
                <w:div w:id="42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998">
      <w:bodyDiv w:val="1"/>
      <w:marLeft w:val="0"/>
      <w:marRight w:val="0"/>
      <w:marTop w:val="0"/>
      <w:marBottom w:val="0"/>
      <w:divBdr>
        <w:top w:val="none" w:sz="0" w:space="0" w:color="auto"/>
        <w:left w:val="none" w:sz="0" w:space="0" w:color="auto"/>
        <w:bottom w:val="none" w:sz="0" w:space="0" w:color="auto"/>
        <w:right w:val="none" w:sz="0" w:space="0" w:color="auto"/>
      </w:divBdr>
      <w:divsChild>
        <w:div w:id="514732650">
          <w:marLeft w:val="0"/>
          <w:marRight w:val="0"/>
          <w:marTop w:val="0"/>
          <w:marBottom w:val="0"/>
          <w:divBdr>
            <w:top w:val="none" w:sz="0" w:space="0" w:color="auto"/>
            <w:left w:val="none" w:sz="0" w:space="0" w:color="auto"/>
            <w:bottom w:val="none" w:sz="0" w:space="0" w:color="auto"/>
            <w:right w:val="none" w:sz="0" w:space="0" w:color="auto"/>
          </w:divBdr>
          <w:divsChild>
            <w:div w:id="37633973">
              <w:marLeft w:val="0"/>
              <w:marRight w:val="0"/>
              <w:marTop w:val="0"/>
              <w:marBottom w:val="0"/>
              <w:divBdr>
                <w:top w:val="none" w:sz="0" w:space="0" w:color="auto"/>
                <w:left w:val="none" w:sz="0" w:space="0" w:color="auto"/>
                <w:bottom w:val="none" w:sz="0" w:space="0" w:color="auto"/>
                <w:right w:val="none" w:sz="0" w:space="0" w:color="auto"/>
              </w:divBdr>
              <w:divsChild>
                <w:div w:id="16174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581">
      <w:bodyDiv w:val="1"/>
      <w:marLeft w:val="0"/>
      <w:marRight w:val="0"/>
      <w:marTop w:val="0"/>
      <w:marBottom w:val="0"/>
      <w:divBdr>
        <w:top w:val="none" w:sz="0" w:space="0" w:color="auto"/>
        <w:left w:val="none" w:sz="0" w:space="0" w:color="auto"/>
        <w:bottom w:val="none" w:sz="0" w:space="0" w:color="auto"/>
        <w:right w:val="none" w:sz="0" w:space="0" w:color="auto"/>
      </w:divBdr>
    </w:div>
    <w:div w:id="492914008">
      <w:bodyDiv w:val="1"/>
      <w:marLeft w:val="0"/>
      <w:marRight w:val="0"/>
      <w:marTop w:val="0"/>
      <w:marBottom w:val="0"/>
      <w:divBdr>
        <w:top w:val="none" w:sz="0" w:space="0" w:color="auto"/>
        <w:left w:val="none" w:sz="0" w:space="0" w:color="auto"/>
        <w:bottom w:val="none" w:sz="0" w:space="0" w:color="auto"/>
        <w:right w:val="none" w:sz="0" w:space="0" w:color="auto"/>
      </w:divBdr>
    </w:div>
    <w:div w:id="505093492">
      <w:bodyDiv w:val="1"/>
      <w:marLeft w:val="0"/>
      <w:marRight w:val="0"/>
      <w:marTop w:val="0"/>
      <w:marBottom w:val="0"/>
      <w:divBdr>
        <w:top w:val="none" w:sz="0" w:space="0" w:color="auto"/>
        <w:left w:val="none" w:sz="0" w:space="0" w:color="auto"/>
        <w:bottom w:val="none" w:sz="0" w:space="0" w:color="auto"/>
        <w:right w:val="none" w:sz="0" w:space="0" w:color="auto"/>
      </w:divBdr>
    </w:div>
    <w:div w:id="568073257">
      <w:bodyDiv w:val="1"/>
      <w:marLeft w:val="0"/>
      <w:marRight w:val="0"/>
      <w:marTop w:val="0"/>
      <w:marBottom w:val="0"/>
      <w:divBdr>
        <w:top w:val="none" w:sz="0" w:space="0" w:color="auto"/>
        <w:left w:val="none" w:sz="0" w:space="0" w:color="auto"/>
        <w:bottom w:val="none" w:sz="0" w:space="0" w:color="auto"/>
        <w:right w:val="none" w:sz="0" w:space="0" w:color="auto"/>
      </w:divBdr>
      <w:divsChild>
        <w:div w:id="679309284">
          <w:marLeft w:val="0"/>
          <w:marRight w:val="0"/>
          <w:marTop w:val="0"/>
          <w:marBottom w:val="0"/>
          <w:divBdr>
            <w:top w:val="none" w:sz="0" w:space="0" w:color="auto"/>
            <w:left w:val="none" w:sz="0" w:space="0" w:color="auto"/>
            <w:bottom w:val="none" w:sz="0" w:space="0" w:color="auto"/>
            <w:right w:val="none" w:sz="0" w:space="0" w:color="auto"/>
          </w:divBdr>
          <w:divsChild>
            <w:div w:id="496729651">
              <w:marLeft w:val="0"/>
              <w:marRight w:val="0"/>
              <w:marTop w:val="0"/>
              <w:marBottom w:val="0"/>
              <w:divBdr>
                <w:top w:val="none" w:sz="0" w:space="0" w:color="auto"/>
                <w:left w:val="none" w:sz="0" w:space="0" w:color="auto"/>
                <w:bottom w:val="none" w:sz="0" w:space="0" w:color="auto"/>
                <w:right w:val="none" w:sz="0" w:space="0" w:color="auto"/>
              </w:divBdr>
              <w:divsChild>
                <w:div w:id="372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2798">
      <w:bodyDiv w:val="1"/>
      <w:marLeft w:val="0"/>
      <w:marRight w:val="0"/>
      <w:marTop w:val="0"/>
      <w:marBottom w:val="0"/>
      <w:divBdr>
        <w:top w:val="none" w:sz="0" w:space="0" w:color="auto"/>
        <w:left w:val="none" w:sz="0" w:space="0" w:color="auto"/>
        <w:bottom w:val="none" w:sz="0" w:space="0" w:color="auto"/>
        <w:right w:val="none" w:sz="0" w:space="0" w:color="auto"/>
      </w:divBdr>
    </w:div>
    <w:div w:id="739401762">
      <w:bodyDiv w:val="1"/>
      <w:marLeft w:val="0"/>
      <w:marRight w:val="0"/>
      <w:marTop w:val="0"/>
      <w:marBottom w:val="0"/>
      <w:divBdr>
        <w:top w:val="none" w:sz="0" w:space="0" w:color="auto"/>
        <w:left w:val="none" w:sz="0" w:space="0" w:color="auto"/>
        <w:bottom w:val="none" w:sz="0" w:space="0" w:color="auto"/>
        <w:right w:val="none" w:sz="0" w:space="0" w:color="auto"/>
      </w:divBdr>
    </w:div>
    <w:div w:id="784079405">
      <w:bodyDiv w:val="1"/>
      <w:marLeft w:val="0"/>
      <w:marRight w:val="0"/>
      <w:marTop w:val="0"/>
      <w:marBottom w:val="0"/>
      <w:divBdr>
        <w:top w:val="none" w:sz="0" w:space="0" w:color="auto"/>
        <w:left w:val="none" w:sz="0" w:space="0" w:color="auto"/>
        <w:bottom w:val="none" w:sz="0" w:space="0" w:color="auto"/>
        <w:right w:val="none" w:sz="0" w:space="0" w:color="auto"/>
      </w:divBdr>
    </w:div>
    <w:div w:id="789934722">
      <w:bodyDiv w:val="1"/>
      <w:marLeft w:val="0"/>
      <w:marRight w:val="0"/>
      <w:marTop w:val="0"/>
      <w:marBottom w:val="0"/>
      <w:divBdr>
        <w:top w:val="none" w:sz="0" w:space="0" w:color="auto"/>
        <w:left w:val="none" w:sz="0" w:space="0" w:color="auto"/>
        <w:bottom w:val="none" w:sz="0" w:space="0" w:color="auto"/>
        <w:right w:val="none" w:sz="0" w:space="0" w:color="auto"/>
      </w:divBdr>
    </w:div>
    <w:div w:id="790173518">
      <w:bodyDiv w:val="1"/>
      <w:marLeft w:val="0"/>
      <w:marRight w:val="0"/>
      <w:marTop w:val="0"/>
      <w:marBottom w:val="0"/>
      <w:divBdr>
        <w:top w:val="none" w:sz="0" w:space="0" w:color="auto"/>
        <w:left w:val="none" w:sz="0" w:space="0" w:color="auto"/>
        <w:bottom w:val="none" w:sz="0" w:space="0" w:color="auto"/>
        <w:right w:val="none" w:sz="0" w:space="0" w:color="auto"/>
      </w:divBdr>
    </w:div>
    <w:div w:id="791753348">
      <w:bodyDiv w:val="1"/>
      <w:marLeft w:val="0"/>
      <w:marRight w:val="0"/>
      <w:marTop w:val="0"/>
      <w:marBottom w:val="0"/>
      <w:divBdr>
        <w:top w:val="none" w:sz="0" w:space="0" w:color="auto"/>
        <w:left w:val="none" w:sz="0" w:space="0" w:color="auto"/>
        <w:bottom w:val="none" w:sz="0" w:space="0" w:color="auto"/>
        <w:right w:val="none" w:sz="0" w:space="0" w:color="auto"/>
      </w:divBdr>
      <w:divsChild>
        <w:div w:id="1709914481">
          <w:marLeft w:val="0"/>
          <w:marRight w:val="0"/>
          <w:marTop w:val="0"/>
          <w:marBottom w:val="0"/>
          <w:divBdr>
            <w:top w:val="none" w:sz="0" w:space="0" w:color="auto"/>
            <w:left w:val="none" w:sz="0" w:space="0" w:color="auto"/>
            <w:bottom w:val="none" w:sz="0" w:space="0" w:color="auto"/>
            <w:right w:val="none" w:sz="0" w:space="0" w:color="auto"/>
          </w:divBdr>
          <w:divsChild>
            <w:div w:id="1842499045">
              <w:marLeft w:val="0"/>
              <w:marRight w:val="0"/>
              <w:marTop w:val="0"/>
              <w:marBottom w:val="0"/>
              <w:divBdr>
                <w:top w:val="none" w:sz="0" w:space="0" w:color="auto"/>
                <w:left w:val="none" w:sz="0" w:space="0" w:color="auto"/>
                <w:bottom w:val="none" w:sz="0" w:space="0" w:color="auto"/>
                <w:right w:val="none" w:sz="0" w:space="0" w:color="auto"/>
              </w:divBdr>
              <w:divsChild>
                <w:div w:id="5851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0461">
      <w:bodyDiv w:val="1"/>
      <w:marLeft w:val="0"/>
      <w:marRight w:val="0"/>
      <w:marTop w:val="0"/>
      <w:marBottom w:val="0"/>
      <w:divBdr>
        <w:top w:val="none" w:sz="0" w:space="0" w:color="auto"/>
        <w:left w:val="none" w:sz="0" w:space="0" w:color="auto"/>
        <w:bottom w:val="none" w:sz="0" w:space="0" w:color="auto"/>
        <w:right w:val="none" w:sz="0" w:space="0" w:color="auto"/>
      </w:divBdr>
    </w:div>
    <w:div w:id="889268627">
      <w:bodyDiv w:val="1"/>
      <w:marLeft w:val="0"/>
      <w:marRight w:val="0"/>
      <w:marTop w:val="0"/>
      <w:marBottom w:val="0"/>
      <w:divBdr>
        <w:top w:val="none" w:sz="0" w:space="0" w:color="auto"/>
        <w:left w:val="none" w:sz="0" w:space="0" w:color="auto"/>
        <w:bottom w:val="none" w:sz="0" w:space="0" w:color="auto"/>
        <w:right w:val="none" w:sz="0" w:space="0" w:color="auto"/>
      </w:divBdr>
      <w:divsChild>
        <w:div w:id="1879900218">
          <w:marLeft w:val="0"/>
          <w:marRight w:val="0"/>
          <w:marTop w:val="0"/>
          <w:marBottom w:val="0"/>
          <w:divBdr>
            <w:top w:val="none" w:sz="0" w:space="0" w:color="auto"/>
            <w:left w:val="none" w:sz="0" w:space="0" w:color="auto"/>
            <w:bottom w:val="none" w:sz="0" w:space="0" w:color="auto"/>
            <w:right w:val="none" w:sz="0" w:space="0" w:color="auto"/>
          </w:divBdr>
          <w:divsChild>
            <w:div w:id="1971354379">
              <w:marLeft w:val="0"/>
              <w:marRight w:val="0"/>
              <w:marTop w:val="0"/>
              <w:marBottom w:val="0"/>
              <w:divBdr>
                <w:top w:val="none" w:sz="0" w:space="0" w:color="auto"/>
                <w:left w:val="none" w:sz="0" w:space="0" w:color="auto"/>
                <w:bottom w:val="none" w:sz="0" w:space="0" w:color="auto"/>
                <w:right w:val="none" w:sz="0" w:space="0" w:color="auto"/>
              </w:divBdr>
              <w:divsChild>
                <w:div w:id="20018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2212">
      <w:bodyDiv w:val="1"/>
      <w:marLeft w:val="0"/>
      <w:marRight w:val="0"/>
      <w:marTop w:val="0"/>
      <w:marBottom w:val="0"/>
      <w:divBdr>
        <w:top w:val="none" w:sz="0" w:space="0" w:color="auto"/>
        <w:left w:val="none" w:sz="0" w:space="0" w:color="auto"/>
        <w:bottom w:val="none" w:sz="0" w:space="0" w:color="auto"/>
        <w:right w:val="none" w:sz="0" w:space="0" w:color="auto"/>
      </w:divBdr>
      <w:divsChild>
        <w:div w:id="803691107">
          <w:marLeft w:val="0"/>
          <w:marRight w:val="0"/>
          <w:marTop w:val="0"/>
          <w:marBottom w:val="0"/>
          <w:divBdr>
            <w:top w:val="none" w:sz="0" w:space="0" w:color="auto"/>
            <w:left w:val="none" w:sz="0" w:space="0" w:color="auto"/>
            <w:bottom w:val="none" w:sz="0" w:space="0" w:color="auto"/>
            <w:right w:val="none" w:sz="0" w:space="0" w:color="auto"/>
          </w:divBdr>
          <w:divsChild>
            <w:div w:id="2105294844">
              <w:marLeft w:val="0"/>
              <w:marRight w:val="0"/>
              <w:marTop w:val="0"/>
              <w:marBottom w:val="0"/>
              <w:divBdr>
                <w:top w:val="none" w:sz="0" w:space="0" w:color="auto"/>
                <w:left w:val="none" w:sz="0" w:space="0" w:color="auto"/>
                <w:bottom w:val="none" w:sz="0" w:space="0" w:color="auto"/>
                <w:right w:val="none" w:sz="0" w:space="0" w:color="auto"/>
              </w:divBdr>
              <w:divsChild>
                <w:div w:id="1159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9248">
      <w:bodyDiv w:val="1"/>
      <w:marLeft w:val="0"/>
      <w:marRight w:val="0"/>
      <w:marTop w:val="0"/>
      <w:marBottom w:val="0"/>
      <w:divBdr>
        <w:top w:val="none" w:sz="0" w:space="0" w:color="auto"/>
        <w:left w:val="none" w:sz="0" w:space="0" w:color="auto"/>
        <w:bottom w:val="none" w:sz="0" w:space="0" w:color="auto"/>
        <w:right w:val="none" w:sz="0" w:space="0" w:color="auto"/>
      </w:divBdr>
    </w:div>
    <w:div w:id="931595642">
      <w:bodyDiv w:val="1"/>
      <w:marLeft w:val="0"/>
      <w:marRight w:val="0"/>
      <w:marTop w:val="0"/>
      <w:marBottom w:val="0"/>
      <w:divBdr>
        <w:top w:val="none" w:sz="0" w:space="0" w:color="auto"/>
        <w:left w:val="none" w:sz="0" w:space="0" w:color="auto"/>
        <w:bottom w:val="none" w:sz="0" w:space="0" w:color="auto"/>
        <w:right w:val="none" w:sz="0" w:space="0" w:color="auto"/>
      </w:divBdr>
    </w:div>
    <w:div w:id="937323734">
      <w:bodyDiv w:val="1"/>
      <w:marLeft w:val="0"/>
      <w:marRight w:val="0"/>
      <w:marTop w:val="0"/>
      <w:marBottom w:val="0"/>
      <w:divBdr>
        <w:top w:val="none" w:sz="0" w:space="0" w:color="auto"/>
        <w:left w:val="none" w:sz="0" w:space="0" w:color="auto"/>
        <w:bottom w:val="none" w:sz="0" w:space="0" w:color="auto"/>
        <w:right w:val="none" w:sz="0" w:space="0" w:color="auto"/>
      </w:divBdr>
    </w:div>
    <w:div w:id="957489005">
      <w:bodyDiv w:val="1"/>
      <w:marLeft w:val="0"/>
      <w:marRight w:val="0"/>
      <w:marTop w:val="0"/>
      <w:marBottom w:val="0"/>
      <w:divBdr>
        <w:top w:val="none" w:sz="0" w:space="0" w:color="auto"/>
        <w:left w:val="none" w:sz="0" w:space="0" w:color="auto"/>
        <w:bottom w:val="none" w:sz="0" w:space="0" w:color="auto"/>
        <w:right w:val="none" w:sz="0" w:space="0" w:color="auto"/>
      </w:divBdr>
    </w:div>
    <w:div w:id="962882051">
      <w:bodyDiv w:val="1"/>
      <w:marLeft w:val="0"/>
      <w:marRight w:val="0"/>
      <w:marTop w:val="0"/>
      <w:marBottom w:val="0"/>
      <w:divBdr>
        <w:top w:val="none" w:sz="0" w:space="0" w:color="auto"/>
        <w:left w:val="none" w:sz="0" w:space="0" w:color="auto"/>
        <w:bottom w:val="none" w:sz="0" w:space="0" w:color="auto"/>
        <w:right w:val="none" w:sz="0" w:space="0" w:color="auto"/>
      </w:divBdr>
    </w:div>
    <w:div w:id="1008292006">
      <w:bodyDiv w:val="1"/>
      <w:marLeft w:val="0"/>
      <w:marRight w:val="0"/>
      <w:marTop w:val="0"/>
      <w:marBottom w:val="0"/>
      <w:divBdr>
        <w:top w:val="none" w:sz="0" w:space="0" w:color="auto"/>
        <w:left w:val="none" w:sz="0" w:space="0" w:color="auto"/>
        <w:bottom w:val="none" w:sz="0" w:space="0" w:color="auto"/>
        <w:right w:val="none" w:sz="0" w:space="0" w:color="auto"/>
      </w:divBdr>
      <w:divsChild>
        <w:div w:id="27995774">
          <w:marLeft w:val="0"/>
          <w:marRight w:val="0"/>
          <w:marTop w:val="0"/>
          <w:marBottom w:val="0"/>
          <w:divBdr>
            <w:top w:val="none" w:sz="0" w:space="0" w:color="auto"/>
            <w:left w:val="none" w:sz="0" w:space="0" w:color="auto"/>
            <w:bottom w:val="none" w:sz="0" w:space="0" w:color="auto"/>
            <w:right w:val="none" w:sz="0" w:space="0" w:color="auto"/>
          </w:divBdr>
          <w:divsChild>
            <w:div w:id="914316681">
              <w:marLeft w:val="0"/>
              <w:marRight w:val="0"/>
              <w:marTop w:val="0"/>
              <w:marBottom w:val="0"/>
              <w:divBdr>
                <w:top w:val="none" w:sz="0" w:space="0" w:color="auto"/>
                <w:left w:val="none" w:sz="0" w:space="0" w:color="auto"/>
                <w:bottom w:val="none" w:sz="0" w:space="0" w:color="auto"/>
                <w:right w:val="none" w:sz="0" w:space="0" w:color="auto"/>
              </w:divBdr>
              <w:divsChild>
                <w:div w:id="1839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9266">
      <w:bodyDiv w:val="1"/>
      <w:marLeft w:val="0"/>
      <w:marRight w:val="0"/>
      <w:marTop w:val="0"/>
      <w:marBottom w:val="0"/>
      <w:divBdr>
        <w:top w:val="none" w:sz="0" w:space="0" w:color="auto"/>
        <w:left w:val="none" w:sz="0" w:space="0" w:color="auto"/>
        <w:bottom w:val="none" w:sz="0" w:space="0" w:color="auto"/>
        <w:right w:val="none" w:sz="0" w:space="0" w:color="auto"/>
      </w:divBdr>
    </w:div>
    <w:div w:id="1040396817">
      <w:bodyDiv w:val="1"/>
      <w:marLeft w:val="0"/>
      <w:marRight w:val="0"/>
      <w:marTop w:val="0"/>
      <w:marBottom w:val="0"/>
      <w:divBdr>
        <w:top w:val="none" w:sz="0" w:space="0" w:color="auto"/>
        <w:left w:val="none" w:sz="0" w:space="0" w:color="auto"/>
        <w:bottom w:val="none" w:sz="0" w:space="0" w:color="auto"/>
        <w:right w:val="none" w:sz="0" w:space="0" w:color="auto"/>
      </w:divBdr>
    </w:div>
    <w:div w:id="1050106700">
      <w:bodyDiv w:val="1"/>
      <w:marLeft w:val="0"/>
      <w:marRight w:val="0"/>
      <w:marTop w:val="0"/>
      <w:marBottom w:val="0"/>
      <w:divBdr>
        <w:top w:val="none" w:sz="0" w:space="0" w:color="auto"/>
        <w:left w:val="none" w:sz="0" w:space="0" w:color="auto"/>
        <w:bottom w:val="none" w:sz="0" w:space="0" w:color="auto"/>
        <w:right w:val="none" w:sz="0" w:space="0" w:color="auto"/>
      </w:divBdr>
      <w:divsChild>
        <w:div w:id="315040078">
          <w:marLeft w:val="0"/>
          <w:marRight w:val="0"/>
          <w:marTop w:val="0"/>
          <w:marBottom w:val="0"/>
          <w:divBdr>
            <w:top w:val="none" w:sz="0" w:space="0" w:color="auto"/>
            <w:left w:val="none" w:sz="0" w:space="0" w:color="auto"/>
            <w:bottom w:val="none" w:sz="0" w:space="0" w:color="auto"/>
            <w:right w:val="none" w:sz="0" w:space="0" w:color="auto"/>
          </w:divBdr>
          <w:divsChild>
            <w:div w:id="292635833">
              <w:marLeft w:val="0"/>
              <w:marRight w:val="0"/>
              <w:marTop w:val="0"/>
              <w:marBottom w:val="0"/>
              <w:divBdr>
                <w:top w:val="none" w:sz="0" w:space="0" w:color="auto"/>
                <w:left w:val="none" w:sz="0" w:space="0" w:color="auto"/>
                <w:bottom w:val="none" w:sz="0" w:space="0" w:color="auto"/>
                <w:right w:val="none" w:sz="0" w:space="0" w:color="auto"/>
              </w:divBdr>
              <w:divsChild>
                <w:div w:id="28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4574">
      <w:bodyDiv w:val="1"/>
      <w:marLeft w:val="0"/>
      <w:marRight w:val="0"/>
      <w:marTop w:val="0"/>
      <w:marBottom w:val="0"/>
      <w:divBdr>
        <w:top w:val="none" w:sz="0" w:space="0" w:color="auto"/>
        <w:left w:val="none" w:sz="0" w:space="0" w:color="auto"/>
        <w:bottom w:val="none" w:sz="0" w:space="0" w:color="auto"/>
        <w:right w:val="none" w:sz="0" w:space="0" w:color="auto"/>
      </w:divBdr>
    </w:div>
    <w:div w:id="1075930718">
      <w:bodyDiv w:val="1"/>
      <w:marLeft w:val="0"/>
      <w:marRight w:val="0"/>
      <w:marTop w:val="0"/>
      <w:marBottom w:val="0"/>
      <w:divBdr>
        <w:top w:val="none" w:sz="0" w:space="0" w:color="auto"/>
        <w:left w:val="none" w:sz="0" w:space="0" w:color="auto"/>
        <w:bottom w:val="none" w:sz="0" w:space="0" w:color="auto"/>
        <w:right w:val="none" w:sz="0" w:space="0" w:color="auto"/>
      </w:divBdr>
      <w:divsChild>
        <w:div w:id="1208447055">
          <w:marLeft w:val="0"/>
          <w:marRight w:val="0"/>
          <w:marTop w:val="0"/>
          <w:marBottom w:val="0"/>
          <w:divBdr>
            <w:top w:val="none" w:sz="0" w:space="0" w:color="auto"/>
            <w:left w:val="none" w:sz="0" w:space="0" w:color="auto"/>
            <w:bottom w:val="none" w:sz="0" w:space="0" w:color="auto"/>
            <w:right w:val="none" w:sz="0" w:space="0" w:color="auto"/>
          </w:divBdr>
          <w:divsChild>
            <w:div w:id="1833906858">
              <w:marLeft w:val="0"/>
              <w:marRight w:val="0"/>
              <w:marTop w:val="0"/>
              <w:marBottom w:val="0"/>
              <w:divBdr>
                <w:top w:val="none" w:sz="0" w:space="0" w:color="auto"/>
                <w:left w:val="none" w:sz="0" w:space="0" w:color="auto"/>
                <w:bottom w:val="none" w:sz="0" w:space="0" w:color="auto"/>
                <w:right w:val="none" w:sz="0" w:space="0" w:color="auto"/>
              </w:divBdr>
              <w:divsChild>
                <w:div w:id="131944977">
                  <w:marLeft w:val="0"/>
                  <w:marRight w:val="0"/>
                  <w:marTop w:val="0"/>
                  <w:marBottom w:val="0"/>
                  <w:divBdr>
                    <w:top w:val="none" w:sz="0" w:space="0" w:color="auto"/>
                    <w:left w:val="none" w:sz="0" w:space="0" w:color="auto"/>
                    <w:bottom w:val="none" w:sz="0" w:space="0" w:color="auto"/>
                    <w:right w:val="none" w:sz="0" w:space="0" w:color="auto"/>
                  </w:divBdr>
                  <w:divsChild>
                    <w:div w:id="21423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16660">
      <w:bodyDiv w:val="1"/>
      <w:marLeft w:val="0"/>
      <w:marRight w:val="0"/>
      <w:marTop w:val="0"/>
      <w:marBottom w:val="0"/>
      <w:divBdr>
        <w:top w:val="none" w:sz="0" w:space="0" w:color="auto"/>
        <w:left w:val="none" w:sz="0" w:space="0" w:color="auto"/>
        <w:bottom w:val="none" w:sz="0" w:space="0" w:color="auto"/>
        <w:right w:val="none" w:sz="0" w:space="0" w:color="auto"/>
      </w:divBdr>
      <w:divsChild>
        <w:div w:id="837228511">
          <w:marLeft w:val="0"/>
          <w:marRight w:val="0"/>
          <w:marTop w:val="0"/>
          <w:marBottom w:val="0"/>
          <w:divBdr>
            <w:top w:val="none" w:sz="0" w:space="0" w:color="auto"/>
            <w:left w:val="none" w:sz="0" w:space="0" w:color="auto"/>
            <w:bottom w:val="none" w:sz="0" w:space="0" w:color="auto"/>
            <w:right w:val="none" w:sz="0" w:space="0" w:color="auto"/>
          </w:divBdr>
          <w:divsChild>
            <w:div w:id="1560290635">
              <w:marLeft w:val="0"/>
              <w:marRight w:val="0"/>
              <w:marTop w:val="0"/>
              <w:marBottom w:val="0"/>
              <w:divBdr>
                <w:top w:val="none" w:sz="0" w:space="0" w:color="auto"/>
                <w:left w:val="none" w:sz="0" w:space="0" w:color="auto"/>
                <w:bottom w:val="none" w:sz="0" w:space="0" w:color="auto"/>
                <w:right w:val="none" w:sz="0" w:space="0" w:color="auto"/>
              </w:divBdr>
              <w:divsChild>
                <w:div w:id="2086488582">
                  <w:marLeft w:val="0"/>
                  <w:marRight w:val="0"/>
                  <w:marTop w:val="0"/>
                  <w:marBottom w:val="0"/>
                  <w:divBdr>
                    <w:top w:val="none" w:sz="0" w:space="0" w:color="auto"/>
                    <w:left w:val="none" w:sz="0" w:space="0" w:color="auto"/>
                    <w:bottom w:val="none" w:sz="0" w:space="0" w:color="auto"/>
                    <w:right w:val="none" w:sz="0" w:space="0" w:color="auto"/>
                  </w:divBdr>
                  <w:divsChild>
                    <w:div w:id="10837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7547">
      <w:bodyDiv w:val="1"/>
      <w:marLeft w:val="0"/>
      <w:marRight w:val="0"/>
      <w:marTop w:val="0"/>
      <w:marBottom w:val="0"/>
      <w:divBdr>
        <w:top w:val="none" w:sz="0" w:space="0" w:color="auto"/>
        <w:left w:val="none" w:sz="0" w:space="0" w:color="auto"/>
        <w:bottom w:val="none" w:sz="0" w:space="0" w:color="auto"/>
        <w:right w:val="none" w:sz="0" w:space="0" w:color="auto"/>
      </w:divBdr>
      <w:divsChild>
        <w:div w:id="237637448">
          <w:marLeft w:val="0"/>
          <w:marRight w:val="0"/>
          <w:marTop w:val="0"/>
          <w:marBottom w:val="0"/>
          <w:divBdr>
            <w:top w:val="none" w:sz="0" w:space="0" w:color="auto"/>
            <w:left w:val="none" w:sz="0" w:space="0" w:color="auto"/>
            <w:bottom w:val="none" w:sz="0" w:space="0" w:color="auto"/>
            <w:right w:val="none" w:sz="0" w:space="0" w:color="auto"/>
          </w:divBdr>
          <w:divsChild>
            <w:div w:id="457995990">
              <w:marLeft w:val="0"/>
              <w:marRight w:val="0"/>
              <w:marTop w:val="0"/>
              <w:marBottom w:val="0"/>
              <w:divBdr>
                <w:top w:val="none" w:sz="0" w:space="0" w:color="auto"/>
                <w:left w:val="none" w:sz="0" w:space="0" w:color="auto"/>
                <w:bottom w:val="none" w:sz="0" w:space="0" w:color="auto"/>
                <w:right w:val="none" w:sz="0" w:space="0" w:color="auto"/>
              </w:divBdr>
              <w:divsChild>
                <w:div w:id="7387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18741">
      <w:bodyDiv w:val="1"/>
      <w:marLeft w:val="0"/>
      <w:marRight w:val="0"/>
      <w:marTop w:val="0"/>
      <w:marBottom w:val="0"/>
      <w:divBdr>
        <w:top w:val="none" w:sz="0" w:space="0" w:color="auto"/>
        <w:left w:val="none" w:sz="0" w:space="0" w:color="auto"/>
        <w:bottom w:val="none" w:sz="0" w:space="0" w:color="auto"/>
        <w:right w:val="none" w:sz="0" w:space="0" w:color="auto"/>
      </w:divBdr>
    </w:div>
    <w:div w:id="1308316306">
      <w:bodyDiv w:val="1"/>
      <w:marLeft w:val="0"/>
      <w:marRight w:val="0"/>
      <w:marTop w:val="0"/>
      <w:marBottom w:val="0"/>
      <w:divBdr>
        <w:top w:val="none" w:sz="0" w:space="0" w:color="auto"/>
        <w:left w:val="none" w:sz="0" w:space="0" w:color="auto"/>
        <w:bottom w:val="none" w:sz="0" w:space="0" w:color="auto"/>
        <w:right w:val="none" w:sz="0" w:space="0" w:color="auto"/>
      </w:divBdr>
      <w:divsChild>
        <w:div w:id="729034597">
          <w:marLeft w:val="0"/>
          <w:marRight w:val="0"/>
          <w:marTop w:val="0"/>
          <w:marBottom w:val="0"/>
          <w:divBdr>
            <w:top w:val="none" w:sz="0" w:space="0" w:color="auto"/>
            <w:left w:val="none" w:sz="0" w:space="0" w:color="auto"/>
            <w:bottom w:val="none" w:sz="0" w:space="0" w:color="auto"/>
            <w:right w:val="none" w:sz="0" w:space="0" w:color="auto"/>
          </w:divBdr>
          <w:divsChild>
            <w:div w:id="2032491100">
              <w:marLeft w:val="0"/>
              <w:marRight w:val="0"/>
              <w:marTop w:val="0"/>
              <w:marBottom w:val="0"/>
              <w:divBdr>
                <w:top w:val="none" w:sz="0" w:space="0" w:color="auto"/>
                <w:left w:val="none" w:sz="0" w:space="0" w:color="auto"/>
                <w:bottom w:val="none" w:sz="0" w:space="0" w:color="auto"/>
                <w:right w:val="none" w:sz="0" w:space="0" w:color="auto"/>
              </w:divBdr>
              <w:divsChild>
                <w:div w:id="4868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0772">
      <w:bodyDiv w:val="1"/>
      <w:marLeft w:val="0"/>
      <w:marRight w:val="0"/>
      <w:marTop w:val="0"/>
      <w:marBottom w:val="0"/>
      <w:divBdr>
        <w:top w:val="none" w:sz="0" w:space="0" w:color="auto"/>
        <w:left w:val="none" w:sz="0" w:space="0" w:color="auto"/>
        <w:bottom w:val="none" w:sz="0" w:space="0" w:color="auto"/>
        <w:right w:val="none" w:sz="0" w:space="0" w:color="auto"/>
      </w:divBdr>
      <w:divsChild>
        <w:div w:id="171994979">
          <w:marLeft w:val="0"/>
          <w:marRight w:val="0"/>
          <w:marTop w:val="0"/>
          <w:marBottom w:val="0"/>
          <w:divBdr>
            <w:top w:val="none" w:sz="0" w:space="0" w:color="auto"/>
            <w:left w:val="none" w:sz="0" w:space="0" w:color="auto"/>
            <w:bottom w:val="none" w:sz="0" w:space="0" w:color="auto"/>
            <w:right w:val="none" w:sz="0" w:space="0" w:color="auto"/>
          </w:divBdr>
          <w:divsChild>
            <w:div w:id="200482825">
              <w:marLeft w:val="0"/>
              <w:marRight w:val="0"/>
              <w:marTop w:val="0"/>
              <w:marBottom w:val="0"/>
              <w:divBdr>
                <w:top w:val="none" w:sz="0" w:space="0" w:color="auto"/>
                <w:left w:val="none" w:sz="0" w:space="0" w:color="auto"/>
                <w:bottom w:val="none" w:sz="0" w:space="0" w:color="auto"/>
                <w:right w:val="none" w:sz="0" w:space="0" w:color="auto"/>
              </w:divBdr>
              <w:divsChild>
                <w:div w:id="7502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5890">
      <w:bodyDiv w:val="1"/>
      <w:marLeft w:val="0"/>
      <w:marRight w:val="0"/>
      <w:marTop w:val="0"/>
      <w:marBottom w:val="0"/>
      <w:divBdr>
        <w:top w:val="none" w:sz="0" w:space="0" w:color="auto"/>
        <w:left w:val="none" w:sz="0" w:space="0" w:color="auto"/>
        <w:bottom w:val="none" w:sz="0" w:space="0" w:color="auto"/>
        <w:right w:val="none" w:sz="0" w:space="0" w:color="auto"/>
      </w:divBdr>
    </w:div>
    <w:div w:id="1328510216">
      <w:bodyDiv w:val="1"/>
      <w:marLeft w:val="0"/>
      <w:marRight w:val="0"/>
      <w:marTop w:val="0"/>
      <w:marBottom w:val="0"/>
      <w:divBdr>
        <w:top w:val="none" w:sz="0" w:space="0" w:color="auto"/>
        <w:left w:val="none" w:sz="0" w:space="0" w:color="auto"/>
        <w:bottom w:val="none" w:sz="0" w:space="0" w:color="auto"/>
        <w:right w:val="none" w:sz="0" w:space="0" w:color="auto"/>
      </w:divBdr>
      <w:divsChild>
        <w:div w:id="788206659">
          <w:marLeft w:val="0"/>
          <w:marRight w:val="0"/>
          <w:marTop w:val="0"/>
          <w:marBottom w:val="0"/>
          <w:divBdr>
            <w:top w:val="none" w:sz="0" w:space="0" w:color="auto"/>
            <w:left w:val="none" w:sz="0" w:space="0" w:color="auto"/>
            <w:bottom w:val="none" w:sz="0" w:space="0" w:color="auto"/>
            <w:right w:val="none" w:sz="0" w:space="0" w:color="auto"/>
          </w:divBdr>
          <w:divsChild>
            <w:div w:id="1525904453">
              <w:marLeft w:val="0"/>
              <w:marRight w:val="0"/>
              <w:marTop w:val="0"/>
              <w:marBottom w:val="0"/>
              <w:divBdr>
                <w:top w:val="none" w:sz="0" w:space="0" w:color="auto"/>
                <w:left w:val="none" w:sz="0" w:space="0" w:color="auto"/>
                <w:bottom w:val="none" w:sz="0" w:space="0" w:color="auto"/>
                <w:right w:val="none" w:sz="0" w:space="0" w:color="auto"/>
              </w:divBdr>
              <w:divsChild>
                <w:div w:id="1007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60433">
      <w:bodyDiv w:val="1"/>
      <w:marLeft w:val="0"/>
      <w:marRight w:val="0"/>
      <w:marTop w:val="0"/>
      <w:marBottom w:val="0"/>
      <w:divBdr>
        <w:top w:val="none" w:sz="0" w:space="0" w:color="auto"/>
        <w:left w:val="none" w:sz="0" w:space="0" w:color="auto"/>
        <w:bottom w:val="none" w:sz="0" w:space="0" w:color="auto"/>
        <w:right w:val="none" w:sz="0" w:space="0" w:color="auto"/>
      </w:divBdr>
    </w:div>
    <w:div w:id="1384795383">
      <w:bodyDiv w:val="1"/>
      <w:marLeft w:val="0"/>
      <w:marRight w:val="0"/>
      <w:marTop w:val="0"/>
      <w:marBottom w:val="0"/>
      <w:divBdr>
        <w:top w:val="none" w:sz="0" w:space="0" w:color="auto"/>
        <w:left w:val="none" w:sz="0" w:space="0" w:color="auto"/>
        <w:bottom w:val="none" w:sz="0" w:space="0" w:color="auto"/>
        <w:right w:val="none" w:sz="0" w:space="0" w:color="auto"/>
      </w:divBdr>
    </w:div>
    <w:div w:id="1427534867">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582642564">
      <w:bodyDiv w:val="1"/>
      <w:marLeft w:val="0"/>
      <w:marRight w:val="0"/>
      <w:marTop w:val="0"/>
      <w:marBottom w:val="0"/>
      <w:divBdr>
        <w:top w:val="none" w:sz="0" w:space="0" w:color="auto"/>
        <w:left w:val="none" w:sz="0" w:space="0" w:color="auto"/>
        <w:bottom w:val="none" w:sz="0" w:space="0" w:color="auto"/>
        <w:right w:val="none" w:sz="0" w:space="0" w:color="auto"/>
      </w:divBdr>
    </w:div>
    <w:div w:id="1591309359">
      <w:bodyDiv w:val="1"/>
      <w:marLeft w:val="0"/>
      <w:marRight w:val="0"/>
      <w:marTop w:val="0"/>
      <w:marBottom w:val="0"/>
      <w:divBdr>
        <w:top w:val="none" w:sz="0" w:space="0" w:color="auto"/>
        <w:left w:val="none" w:sz="0" w:space="0" w:color="auto"/>
        <w:bottom w:val="none" w:sz="0" w:space="0" w:color="auto"/>
        <w:right w:val="none" w:sz="0" w:space="0" w:color="auto"/>
      </w:divBdr>
    </w:div>
    <w:div w:id="1610235861">
      <w:bodyDiv w:val="1"/>
      <w:marLeft w:val="0"/>
      <w:marRight w:val="0"/>
      <w:marTop w:val="0"/>
      <w:marBottom w:val="0"/>
      <w:divBdr>
        <w:top w:val="none" w:sz="0" w:space="0" w:color="auto"/>
        <w:left w:val="none" w:sz="0" w:space="0" w:color="auto"/>
        <w:bottom w:val="none" w:sz="0" w:space="0" w:color="auto"/>
        <w:right w:val="none" w:sz="0" w:space="0" w:color="auto"/>
      </w:divBdr>
      <w:divsChild>
        <w:div w:id="1014235545">
          <w:marLeft w:val="0"/>
          <w:marRight w:val="0"/>
          <w:marTop w:val="0"/>
          <w:marBottom w:val="0"/>
          <w:divBdr>
            <w:top w:val="none" w:sz="0" w:space="0" w:color="auto"/>
            <w:left w:val="none" w:sz="0" w:space="0" w:color="auto"/>
            <w:bottom w:val="none" w:sz="0" w:space="0" w:color="auto"/>
            <w:right w:val="none" w:sz="0" w:space="0" w:color="auto"/>
          </w:divBdr>
          <w:divsChild>
            <w:div w:id="536938802">
              <w:marLeft w:val="0"/>
              <w:marRight w:val="0"/>
              <w:marTop w:val="0"/>
              <w:marBottom w:val="0"/>
              <w:divBdr>
                <w:top w:val="none" w:sz="0" w:space="0" w:color="auto"/>
                <w:left w:val="none" w:sz="0" w:space="0" w:color="auto"/>
                <w:bottom w:val="none" w:sz="0" w:space="0" w:color="auto"/>
                <w:right w:val="none" w:sz="0" w:space="0" w:color="auto"/>
              </w:divBdr>
              <w:divsChild>
                <w:div w:id="2656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87411">
      <w:bodyDiv w:val="1"/>
      <w:marLeft w:val="0"/>
      <w:marRight w:val="0"/>
      <w:marTop w:val="0"/>
      <w:marBottom w:val="0"/>
      <w:divBdr>
        <w:top w:val="none" w:sz="0" w:space="0" w:color="auto"/>
        <w:left w:val="none" w:sz="0" w:space="0" w:color="auto"/>
        <w:bottom w:val="none" w:sz="0" w:space="0" w:color="auto"/>
        <w:right w:val="none" w:sz="0" w:space="0" w:color="auto"/>
      </w:divBdr>
    </w:div>
    <w:div w:id="1643386417">
      <w:bodyDiv w:val="1"/>
      <w:marLeft w:val="0"/>
      <w:marRight w:val="0"/>
      <w:marTop w:val="0"/>
      <w:marBottom w:val="0"/>
      <w:divBdr>
        <w:top w:val="none" w:sz="0" w:space="0" w:color="auto"/>
        <w:left w:val="none" w:sz="0" w:space="0" w:color="auto"/>
        <w:bottom w:val="none" w:sz="0" w:space="0" w:color="auto"/>
        <w:right w:val="none" w:sz="0" w:space="0" w:color="auto"/>
      </w:divBdr>
    </w:div>
    <w:div w:id="1643539227">
      <w:bodyDiv w:val="1"/>
      <w:marLeft w:val="0"/>
      <w:marRight w:val="0"/>
      <w:marTop w:val="0"/>
      <w:marBottom w:val="0"/>
      <w:divBdr>
        <w:top w:val="none" w:sz="0" w:space="0" w:color="auto"/>
        <w:left w:val="none" w:sz="0" w:space="0" w:color="auto"/>
        <w:bottom w:val="none" w:sz="0" w:space="0" w:color="auto"/>
        <w:right w:val="none" w:sz="0" w:space="0" w:color="auto"/>
      </w:divBdr>
    </w:div>
    <w:div w:id="1694653441">
      <w:bodyDiv w:val="1"/>
      <w:marLeft w:val="0"/>
      <w:marRight w:val="0"/>
      <w:marTop w:val="0"/>
      <w:marBottom w:val="0"/>
      <w:divBdr>
        <w:top w:val="none" w:sz="0" w:space="0" w:color="auto"/>
        <w:left w:val="none" w:sz="0" w:space="0" w:color="auto"/>
        <w:bottom w:val="none" w:sz="0" w:space="0" w:color="auto"/>
        <w:right w:val="none" w:sz="0" w:space="0" w:color="auto"/>
      </w:divBdr>
    </w:div>
    <w:div w:id="1756169587">
      <w:bodyDiv w:val="1"/>
      <w:marLeft w:val="0"/>
      <w:marRight w:val="0"/>
      <w:marTop w:val="0"/>
      <w:marBottom w:val="0"/>
      <w:divBdr>
        <w:top w:val="none" w:sz="0" w:space="0" w:color="auto"/>
        <w:left w:val="none" w:sz="0" w:space="0" w:color="auto"/>
        <w:bottom w:val="none" w:sz="0" w:space="0" w:color="auto"/>
        <w:right w:val="none" w:sz="0" w:space="0" w:color="auto"/>
      </w:divBdr>
    </w:div>
    <w:div w:id="1779450645">
      <w:bodyDiv w:val="1"/>
      <w:marLeft w:val="0"/>
      <w:marRight w:val="0"/>
      <w:marTop w:val="0"/>
      <w:marBottom w:val="0"/>
      <w:divBdr>
        <w:top w:val="none" w:sz="0" w:space="0" w:color="auto"/>
        <w:left w:val="none" w:sz="0" w:space="0" w:color="auto"/>
        <w:bottom w:val="none" w:sz="0" w:space="0" w:color="auto"/>
        <w:right w:val="none" w:sz="0" w:space="0" w:color="auto"/>
      </w:divBdr>
    </w:div>
    <w:div w:id="1843348862">
      <w:bodyDiv w:val="1"/>
      <w:marLeft w:val="0"/>
      <w:marRight w:val="0"/>
      <w:marTop w:val="0"/>
      <w:marBottom w:val="0"/>
      <w:divBdr>
        <w:top w:val="none" w:sz="0" w:space="0" w:color="auto"/>
        <w:left w:val="none" w:sz="0" w:space="0" w:color="auto"/>
        <w:bottom w:val="none" w:sz="0" w:space="0" w:color="auto"/>
        <w:right w:val="none" w:sz="0" w:space="0" w:color="auto"/>
      </w:divBdr>
    </w:div>
    <w:div w:id="1868524067">
      <w:bodyDiv w:val="1"/>
      <w:marLeft w:val="0"/>
      <w:marRight w:val="0"/>
      <w:marTop w:val="0"/>
      <w:marBottom w:val="0"/>
      <w:divBdr>
        <w:top w:val="none" w:sz="0" w:space="0" w:color="auto"/>
        <w:left w:val="none" w:sz="0" w:space="0" w:color="auto"/>
        <w:bottom w:val="none" w:sz="0" w:space="0" w:color="auto"/>
        <w:right w:val="none" w:sz="0" w:space="0" w:color="auto"/>
      </w:divBdr>
      <w:divsChild>
        <w:div w:id="683284881">
          <w:marLeft w:val="0"/>
          <w:marRight w:val="0"/>
          <w:marTop w:val="0"/>
          <w:marBottom w:val="0"/>
          <w:divBdr>
            <w:top w:val="none" w:sz="0" w:space="0" w:color="auto"/>
            <w:left w:val="none" w:sz="0" w:space="0" w:color="auto"/>
            <w:bottom w:val="none" w:sz="0" w:space="0" w:color="auto"/>
            <w:right w:val="none" w:sz="0" w:space="0" w:color="auto"/>
          </w:divBdr>
          <w:divsChild>
            <w:div w:id="1793748814">
              <w:marLeft w:val="0"/>
              <w:marRight w:val="0"/>
              <w:marTop w:val="0"/>
              <w:marBottom w:val="0"/>
              <w:divBdr>
                <w:top w:val="none" w:sz="0" w:space="0" w:color="auto"/>
                <w:left w:val="none" w:sz="0" w:space="0" w:color="auto"/>
                <w:bottom w:val="none" w:sz="0" w:space="0" w:color="auto"/>
                <w:right w:val="none" w:sz="0" w:space="0" w:color="auto"/>
              </w:divBdr>
              <w:divsChild>
                <w:div w:id="1967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6850">
      <w:bodyDiv w:val="1"/>
      <w:marLeft w:val="0"/>
      <w:marRight w:val="0"/>
      <w:marTop w:val="0"/>
      <w:marBottom w:val="0"/>
      <w:divBdr>
        <w:top w:val="none" w:sz="0" w:space="0" w:color="auto"/>
        <w:left w:val="none" w:sz="0" w:space="0" w:color="auto"/>
        <w:bottom w:val="none" w:sz="0" w:space="0" w:color="auto"/>
        <w:right w:val="none" w:sz="0" w:space="0" w:color="auto"/>
      </w:divBdr>
    </w:div>
    <w:div w:id="1957247299">
      <w:bodyDiv w:val="1"/>
      <w:marLeft w:val="0"/>
      <w:marRight w:val="0"/>
      <w:marTop w:val="0"/>
      <w:marBottom w:val="0"/>
      <w:divBdr>
        <w:top w:val="none" w:sz="0" w:space="0" w:color="auto"/>
        <w:left w:val="none" w:sz="0" w:space="0" w:color="auto"/>
        <w:bottom w:val="none" w:sz="0" w:space="0" w:color="auto"/>
        <w:right w:val="none" w:sz="0" w:space="0" w:color="auto"/>
      </w:divBdr>
      <w:divsChild>
        <w:div w:id="2092584288">
          <w:marLeft w:val="0"/>
          <w:marRight w:val="0"/>
          <w:marTop w:val="0"/>
          <w:marBottom w:val="0"/>
          <w:divBdr>
            <w:top w:val="none" w:sz="0" w:space="0" w:color="auto"/>
            <w:left w:val="none" w:sz="0" w:space="0" w:color="auto"/>
            <w:bottom w:val="none" w:sz="0" w:space="0" w:color="auto"/>
            <w:right w:val="none" w:sz="0" w:space="0" w:color="auto"/>
          </w:divBdr>
          <w:divsChild>
            <w:div w:id="518082649">
              <w:marLeft w:val="0"/>
              <w:marRight w:val="0"/>
              <w:marTop w:val="0"/>
              <w:marBottom w:val="0"/>
              <w:divBdr>
                <w:top w:val="none" w:sz="0" w:space="0" w:color="auto"/>
                <w:left w:val="none" w:sz="0" w:space="0" w:color="auto"/>
                <w:bottom w:val="none" w:sz="0" w:space="0" w:color="auto"/>
                <w:right w:val="none" w:sz="0" w:space="0" w:color="auto"/>
              </w:divBdr>
              <w:divsChild>
                <w:div w:id="15541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601">
      <w:bodyDiv w:val="1"/>
      <w:marLeft w:val="0"/>
      <w:marRight w:val="0"/>
      <w:marTop w:val="0"/>
      <w:marBottom w:val="0"/>
      <w:divBdr>
        <w:top w:val="none" w:sz="0" w:space="0" w:color="auto"/>
        <w:left w:val="none" w:sz="0" w:space="0" w:color="auto"/>
        <w:bottom w:val="none" w:sz="0" w:space="0" w:color="auto"/>
        <w:right w:val="none" w:sz="0" w:space="0" w:color="auto"/>
      </w:divBdr>
    </w:div>
    <w:div w:id="1970043985">
      <w:bodyDiv w:val="1"/>
      <w:marLeft w:val="0"/>
      <w:marRight w:val="0"/>
      <w:marTop w:val="0"/>
      <w:marBottom w:val="0"/>
      <w:divBdr>
        <w:top w:val="none" w:sz="0" w:space="0" w:color="auto"/>
        <w:left w:val="none" w:sz="0" w:space="0" w:color="auto"/>
        <w:bottom w:val="none" w:sz="0" w:space="0" w:color="auto"/>
        <w:right w:val="none" w:sz="0" w:space="0" w:color="auto"/>
      </w:divBdr>
    </w:div>
    <w:div w:id="1971013940">
      <w:bodyDiv w:val="1"/>
      <w:marLeft w:val="0"/>
      <w:marRight w:val="0"/>
      <w:marTop w:val="0"/>
      <w:marBottom w:val="0"/>
      <w:divBdr>
        <w:top w:val="none" w:sz="0" w:space="0" w:color="auto"/>
        <w:left w:val="none" w:sz="0" w:space="0" w:color="auto"/>
        <w:bottom w:val="none" w:sz="0" w:space="0" w:color="auto"/>
        <w:right w:val="none" w:sz="0" w:space="0" w:color="auto"/>
      </w:divBdr>
    </w:div>
    <w:div w:id="1996447689">
      <w:bodyDiv w:val="1"/>
      <w:marLeft w:val="0"/>
      <w:marRight w:val="0"/>
      <w:marTop w:val="0"/>
      <w:marBottom w:val="0"/>
      <w:divBdr>
        <w:top w:val="none" w:sz="0" w:space="0" w:color="auto"/>
        <w:left w:val="none" w:sz="0" w:space="0" w:color="auto"/>
        <w:bottom w:val="none" w:sz="0" w:space="0" w:color="auto"/>
        <w:right w:val="none" w:sz="0" w:space="0" w:color="auto"/>
      </w:divBdr>
      <w:divsChild>
        <w:div w:id="676081116">
          <w:marLeft w:val="0"/>
          <w:marRight w:val="0"/>
          <w:marTop w:val="0"/>
          <w:marBottom w:val="0"/>
          <w:divBdr>
            <w:top w:val="none" w:sz="0" w:space="0" w:color="auto"/>
            <w:left w:val="none" w:sz="0" w:space="0" w:color="auto"/>
            <w:bottom w:val="none" w:sz="0" w:space="0" w:color="auto"/>
            <w:right w:val="none" w:sz="0" w:space="0" w:color="auto"/>
          </w:divBdr>
          <w:divsChild>
            <w:div w:id="657614900">
              <w:marLeft w:val="0"/>
              <w:marRight w:val="0"/>
              <w:marTop w:val="0"/>
              <w:marBottom w:val="0"/>
              <w:divBdr>
                <w:top w:val="none" w:sz="0" w:space="0" w:color="auto"/>
                <w:left w:val="none" w:sz="0" w:space="0" w:color="auto"/>
                <w:bottom w:val="none" w:sz="0" w:space="0" w:color="auto"/>
                <w:right w:val="none" w:sz="0" w:space="0" w:color="auto"/>
              </w:divBdr>
              <w:divsChild>
                <w:div w:id="1274283052">
                  <w:marLeft w:val="0"/>
                  <w:marRight w:val="0"/>
                  <w:marTop w:val="0"/>
                  <w:marBottom w:val="0"/>
                  <w:divBdr>
                    <w:top w:val="none" w:sz="0" w:space="0" w:color="auto"/>
                    <w:left w:val="none" w:sz="0" w:space="0" w:color="auto"/>
                    <w:bottom w:val="none" w:sz="0" w:space="0" w:color="auto"/>
                    <w:right w:val="none" w:sz="0" w:space="0" w:color="auto"/>
                  </w:divBdr>
                  <w:divsChild>
                    <w:div w:id="120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20454">
      <w:bodyDiv w:val="1"/>
      <w:marLeft w:val="0"/>
      <w:marRight w:val="0"/>
      <w:marTop w:val="0"/>
      <w:marBottom w:val="0"/>
      <w:divBdr>
        <w:top w:val="none" w:sz="0" w:space="0" w:color="auto"/>
        <w:left w:val="none" w:sz="0" w:space="0" w:color="auto"/>
        <w:bottom w:val="none" w:sz="0" w:space="0" w:color="auto"/>
        <w:right w:val="none" w:sz="0" w:space="0" w:color="auto"/>
      </w:divBdr>
    </w:div>
    <w:div w:id="2096900018">
      <w:bodyDiv w:val="1"/>
      <w:marLeft w:val="0"/>
      <w:marRight w:val="0"/>
      <w:marTop w:val="0"/>
      <w:marBottom w:val="0"/>
      <w:divBdr>
        <w:top w:val="none" w:sz="0" w:space="0" w:color="auto"/>
        <w:left w:val="none" w:sz="0" w:space="0" w:color="auto"/>
        <w:bottom w:val="none" w:sz="0" w:space="0" w:color="auto"/>
        <w:right w:val="none" w:sz="0" w:space="0" w:color="auto"/>
      </w:divBdr>
    </w:div>
    <w:div w:id="2111005906">
      <w:bodyDiv w:val="1"/>
      <w:marLeft w:val="0"/>
      <w:marRight w:val="0"/>
      <w:marTop w:val="0"/>
      <w:marBottom w:val="0"/>
      <w:divBdr>
        <w:top w:val="none" w:sz="0" w:space="0" w:color="auto"/>
        <w:left w:val="none" w:sz="0" w:space="0" w:color="auto"/>
        <w:bottom w:val="none" w:sz="0" w:space="0" w:color="auto"/>
        <w:right w:val="none" w:sz="0" w:space="0" w:color="auto"/>
      </w:divBdr>
    </w:div>
    <w:div w:id="2118525559">
      <w:bodyDiv w:val="1"/>
      <w:marLeft w:val="0"/>
      <w:marRight w:val="0"/>
      <w:marTop w:val="0"/>
      <w:marBottom w:val="0"/>
      <w:divBdr>
        <w:top w:val="none" w:sz="0" w:space="0" w:color="auto"/>
        <w:left w:val="none" w:sz="0" w:space="0" w:color="auto"/>
        <w:bottom w:val="none" w:sz="0" w:space="0" w:color="auto"/>
        <w:right w:val="none" w:sz="0" w:space="0" w:color="auto"/>
      </w:divBdr>
      <w:divsChild>
        <w:div w:id="1877041355">
          <w:marLeft w:val="0"/>
          <w:marRight w:val="0"/>
          <w:marTop w:val="0"/>
          <w:marBottom w:val="0"/>
          <w:divBdr>
            <w:top w:val="none" w:sz="0" w:space="0" w:color="auto"/>
            <w:left w:val="none" w:sz="0" w:space="0" w:color="auto"/>
            <w:bottom w:val="none" w:sz="0" w:space="0" w:color="auto"/>
            <w:right w:val="none" w:sz="0" w:space="0" w:color="auto"/>
          </w:divBdr>
          <w:divsChild>
            <w:div w:id="604383928">
              <w:marLeft w:val="0"/>
              <w:marRight w:val="0"/>
              <w:marTop w:val="0"/>
              <w:marBottom w:val="0"/>
              <w:divBdr>
                <w:top w:val="none" w:sz="0" w:space="0" w:color="auto"/>
                <w:left w:val="none" w:sz="0" w:space="0" w:color="auto"/>
                <w:bottom w:val="none" w:sz="0" w:space="0" w:color="auto"/>
                <w:right w:val="none" w:sz="0" w:space="0" w:color="auto"/>
              </w:divBdr>
              <w:divsChild>
                <w:div w:id="14412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72941">
      <w:bodyDiv w:val="1"/>
      <w:marLeft w:val="0"/>
      <w:marRight w:val="0"/>
      <w:marTop w:val="0"/>
      <w:marBottom w:val="0"/>
      <w:divBdr>
        <w:top w:val="none" w:sz="0" w:space="0" w:color="auto"/>
        <w:left w:val="none" w:sz="0" w:space="0" w:color="auto"/>
        <w:bottom w:val="none" w:sz="0" w:space="0" w:color="auto"/>
        <w:right w:val="none" w:sz="0" w:space="0" w:color="auto"/>
      </w:divBdr>
    </w:div>
    <w:div w:id="2131510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tiff"/><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2.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image" Target="media/image3.tiff"/><Relationship Id="rId8"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s\budyldina\Desktop\&#1075;&#1088;&#1072;&#1092;&#1080;&#1082;&#1080;%20&#1082;&#1088;&#1080;&#1089;&#1090;&#1080;&#1085;&#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Users\budyldina\Desktop\&#1085;&#1077;&#1092;&#1090;&#1077;&#1102;&#1075;&#1072;&#1085;&#1089;&#1082;&#1080;&#1080;&#774;%20&#1088;&#1072;&#1080;&#774;&#1086;&#1085;\&#1057;&#1090;&#1072;&#1090;&#1080;&#1089;&#1090;&#1080;&#1082;&#1072;%20&#1089;&#1074;&#1086;&#1076;&#1085;&#1072;&#1103;.xlsx" TargetMode="External"/><Relationship Id="rId2" Type="http://schemas.microsoft.com/office/2011/relationships/chartColorStyle" Target="colors1.xml"/><Relationship Id="rId1" Type="http://schemas.microsoft.com/office/2011/relationships/chartStyle" Target="style1.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budyldina\Desktop\&#1085;&#1077;&#1092;&#1090;&#1077;&#1102;&#1075;&#1072;&#1085;&#1089;&#1082;&#1080;&#1080;&#774;%20&#1088;&#1072;&#1080;&#774;&#1086;&#1085;\&#1057;&#1090;&#1072;&#1090;&#1080;&#1089;&#1090;&#1080;&#1082;&#1072;%20&#1089;&#1074;&#1086;&#1076;&#1085;&#1072;&#1103;.xlsx" TargetMode="External"/><Relationship Id="rId2" Type="http://schemas.microsoft.com/office/2011/relationships/chartColorStyle" Target="colors2.xml"/><Relationship Id="rId1" Type="http://schemas.microsoft.com/office/2011/relationships/chartStyle" Target="style2.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budyldina\Desktop\&#1085;&#1077;&#1092;&#1090;&#1077;&#1102;&#1075;&#1072;&#1085;&#1089;&#1082;&#1080;&#1080;&#774;%20&#1088;&#1072;&#1080;&#774;&#1086;&#1085;\&#1057;&#1090;&#1072;&#1090;&#1080;&#1089;&#1090;&#1080;&#1082;&#1072;%20&#1089;&#1074;&#1086;&#1076;&#1085;&#1072;&#1103;.xlsx" TargetMode="External"/><Relationship Id="rId2" Type="http://schemas.microsoft.com/office/2011/relationships/chartColorStyle" Target="colors3.xml"/><Relationship Id="rId1" Type="http://schemas.microsoft.com/office/2011/relationships/chartStyle" Target="style3.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budyldina\Desktop\&#1085;&#1077;&#1092;&#1090;&#1077;&#1102;&#1075;&#1072;&#1085;&#1089;&#1082;&#1080;&#1080;&#774;%20&#1088;&#1072;&#1080;&#774;&#1086;&#1085;\&#1057;&#1090;&#1072;&#1090;&#1080;&#1089;&#1090;&#1080;&#1082;&#1072;%20&#1089;&#1074;&#1086;&#1076;&#1085;&#1072;&#1103;.xlsx" TargetMode="External"/><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1" Type="http://schemas.openxmlformats.org/officeDocument/2006/relationships/oleObject" Target="file:///\\Users\budyldina\Desktop\&#1075;&#1088;&#1072;&#1092;&#1080;&#1082;&#1080;%20&#1082;&#1088;&#1080;&#1089;&#1090;&#1080;&#1085;&#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ackup\Public\&#1040;&#1062;\&#1057;&#1090;&#1088;&#1072;&#1090;&#1077;&#1075;&#1080;&#1103;%20&#1053;&#1077;&#1092;&#1090;&#1077;&#1102;&#1075;&#1072;&#1085;&#1089;&#1082;&#1086;&#1075;&#1086;%20&#1088;&#1072;&#1081;&#1086;&#1085;&#1072;\&#1089;&#1086;&#1094;&#1080;&#1072;&#1083;&#1082;&#1072;\&#1089;&#1090;&#1072;&#1090;&#1080;&#1089;&#1090;&#108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ackup\Public\&#1040;&#1062;\&#1057;&#1090;&#1088;&#1072;&#1090;&#1077;&#1075;&#1080;&#1103;%20&#1053;&#1077;&#1092;&#1090;&#1077;&#1102;&#1075;&#1072;&#1085;&#1089;&#1082;&#1086;&#1075;&#1086;%20&#1088;&#1072;&#1081;&#1086;&#1085;&#1072;\&#1089;&#1086;&#1094;&#1080;&#1072;&#1083;&#1082;&#1072;\&#1089;&#1090;&#1072;&#1090;&#1080;&#1089;&#1090;&#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budyldina\Desktop\&#1075;&#1088;&#1072;&#1092;&#1080;&#1082;&#1080;%20&#1089;&#1077;&#1088;&#1075;&#1077;&#1080;&#7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486280059178303E-2"/>
          <c:y val="4.1775332716107602E-2"/>
          <c:w val="0.56684535974706496"/>
          <c:h val="0.78276395348614902"/>
        </c:manualLayout>
      </c:layout>
      <c:barChart>
        <c:barDir val="col"/>
        <c:grouping val="clustered"/>
        <c:varyColors val="0"/>
        <c:ser>
          <c:idx val="0"/>
          <c:order val="0"/>
          <c:tx>
            <c:strRef>
              <c:f>'рис 3'!$A$4</c:f>
              <c:strCache>
                <c:ptCount val="1"/>
                <c:pt idx="0">
                  <c:v>Число родившихся (без мертворожденных), чел. (левая шкала)</c:v>
                </c:pt>
              </c:strCache>
            </c:strRef>
          </c:tx>
          <c:spPr>
            <a:solidFill>
              <a:schemeClr val="tx2">
                <a:lumMod val="75000"/>
              </a:schemeClr>
            </a:solidFill>
          </c:spPr>
          <c:invertIfNegative val="0"/>
          <c:dLbls>
            <c:spPr>
              <a:solidFill>
                <a:schemeClr val="bg1"/>
              </a:solidFill>
              <a:ln>
                <a:solidFill>
                  <a:schemeClr val="tx2">
                    <a:lumMod val="75000"/>
                  </a:schemeClr>
                </a:solid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'рис 3'!$B$1:$G$1</c:f>
              <c:numCache>
                <c:formatCode>General</c:formatCode>
                <c:ptCount val="6"/>
                <c:pt idx="0">
                  <c:v>2011</c:v>
                </c:pt>
                <c:pt idx="1">
                  <c:v>2012</c:v>
                </c:pt>
                <c:pt idx="2">
                  <c:v>2013</c:v>
                </c:pt>
                <c:pt idx="3">
                  <c:v>2014</c:v>
                </c:pt>
                <c:pt idx="4">
                  <c:v>2015</c:v>
                </c:pt>
                <c:pt idx="5">
                  <c:v>2016</c:v>
                </c:pt>
              </c:numCache>
            </c:numRef>
          </c:cat>
          <c:val>
            <c:numRef>
              <c:f>'рис 3'!$B$4:$G$4</c:f>
              <c:numCache>
                <c:formatCode>General</c:formatCode>
                <c:ptCount val="6"/>
                <c:pt idx="0">
                  <c:v>606</c:v>
                </c:pt>
                <c:pt idx="1">
                  <c:v>621</c:v>
                </c:pt>
                <c:pt idx="2">
                  <c:v>574</c:v>
                </c:pt>
                <c:pt idx="3">
                  <c:v>562</c:v>
                </c:pt>
                <c:pt idx="4">
                  <c:v>542</c:v>
                </c:pt>
                <c:pt idx="5">
                  <c:v>476</c:v>
                </c:pt>
              </c:numCache>
            </c:numRef>
          </c:val>
        </c:ser>
        <c:ser>
          <c:idx val="1"/>
          <c:order val="1"/>
          <c:tx>
            <c:strRef>
              <c:f>'рис 3'!$A$5</c:f>
              <c:strCache>
                <c:ptCount val="1"/>
                <c:pt idx="0">
                  <c:v>Число умерших, чел. (левая шкала)</c:v>
                </c:pt>
              </c:strCache>
            </c:strRef>
          </c:tx>
          <c:spPr>
            <a:solidFill>
              <a:srgbClr val="DD9FAD"/>
            </a:solidFill>
          </c:spPr>
          <c:invertIfNegative val="0"/>
          <c:dLbls>
            <c:spPr>
              <a:solidFill>
                <a:schemeClr val="bg1"/>
              </a:solidFill>
              <a:ln>
                <a:solidFill>
                  <a:schemeClr val="tx2">
                    <a:lumMod val="75000"/>
                  </a:schemeClr>
                </a:solid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'рис 3'!$B$1:$G$1</c:f>
              <c:numCache>
                <c:formatCode>General</c:formatCode>
                <c:ptCount val="6"/>
                <c:pt idx="0">
                  <c:v>2011</c:v>
                </c:pt>
                <c:pt idx="1">
                  <c:v>2012</c:v>
                </c:pt>
                <c:pt idx="2">
                  <c:v>2013</c:v>
                </c:pt>
                <c:pt idx="3">
                  <c:v>2014</c:v>
                </c:pt>
                <c:pt idx="4">
                  <c:v>2015</c:v>
                </c:pt>
                <c:pt idx="5">
                  <c:v>2016</c:v>
                </c:pt>
              </c:numCache>
            </c:numRef>
          </c:cat>
          <c:val>
            <c:numRef>
              <c:f>'рис 3'!$B$5:$G$5</c:f>
              <c:numCache>
                <c:formatCode>General</c:formatCode>
                <c:ptCount val="6"/>
                <c:pt idx="0">
                  <c:v>218</c:v>
                </c:pt>
                <c:pt idx="1">
                  <c:v>226</c:v>
                </c:pt>
                <c:pt idx="2">
                  <c:v>237</c:v>
                </c:pt>
                <c:pt idx="3">
                  <c:v>256</c:v>
                </c:pt>
                <c:pt idx="4">
                  <c:v>228</c:v>
                </c:pt>
                <c:pt idx="5">
                  <c:v>248</c:v>
                </c:pt>
              </c:numCache>
            </c:numRef>
          </c:val>
        </c:ser>
        <c:dLbls>
          <c:showLegendKey val="0"/>
          <c:showVal val="0"/>
          <c:showCatName val="0"/>
          <c:showSerName val="0"/>
          <c:showPercent val="0"/>
          <c:showBubbleSize val="0"/>
        </c:dLbls>
        <c:gapWidth val="38"/>
        <c:overlap val="-9"/>
        <c:axId val="368303376"/>
        <c:axId val="367017248"/>
      </c:barChart>
      <c:lineChart>
        <c:grouping val="standard"/>
        <c:varyColors val="0"/>
        <c:ser>
          <c:idx val="2"/>
          <c:order val="2"/>
          <c:tx>
            <c:strRef>
              <c:f>'рис 3'!$A$2</c:f>
              <c:strCache>
                <c:ptCount val="1"/>
                <c:pt idx="0">
                  <c:v>Общий коэффициент рождаемости, промилле (правая шкала)</c:v>
                </c:pt>
              </c:strCache>
            </c:strRef>
          </c:tx>
          <c:spPr>
            <a:ln>
              <a:solidFill>
                <a:schemeClr val="bg1">
                  <a:lumMod val="65000"/>
                </a:schemeClr>
              </a:solidFill>
            </a:ln>
          </c:spPr>
          <c:marker>
            <c:spPr>
              <a:solidFill>
                <a:schemeClr val="bg1">
                  <a:lumMod val="65000"/>
                </a:schemeClr>
              </a:solidFill>
              <a:ln>
                <a:noFill/>
              </a:ln>
            </c:spPr>
          </c:marker>
          <c:val>
            <c:numRef>
              <c:f>'рис 3'!$B$2:$G$2</c:f>
              <c:numCache>
                <c:formatCode>General</c:formatCode>
                <c:ptCount val="6"/>
                <c:pt idx="0">
                  <c:v>13.6</c:v>
                </c:pt>
                <c:pt idx="1">
                  <c:v>14</c:v>
                </c:pt>
                <c:pt idx="2">
                  <c:v>13</c:v>
                </c:pt>
                <c:pt idx="3">
                  <c:v>12.7</c:v>
                </c:pt>
                <c:pt idx="4">
                  <c:v>12.1</c:v>
                </c:pt>
                <c:pt idx="5">
                  <c:v>10.6</c:v>
                </c:pt>
              </c:numCache>
            </c:numRef>
          </c:val>
          <c:smooth val="0"/>
        </c:ser>
        <c:ser>
          <c:idx val="3"/>
          <c:order val="3"/>
          <c:tx>
            <c:strRef>
              <c:f>'рис 3'!$A$3</c:f>
              <c:strCache>
                <c:ptCount val="1"/>
                <c:pt idx="0">
                  <c:v>Общий коэффициент смертности, промилле (правая шкала)</c:v>
                </c:pt>
              </c:strCache>
            </c:strRef>
          </c:tx>
          <c:spPr>
            <a:ln>
              <a:solidFill>
                <a:srgbClr val="67011C"/>
              </a:solidFill>
            </a:ln>
          </c:spPr>
          <c:marker>
            <c:spPr>
              <a:solidFill>
                <a:srgbClr val="67011C"/>
              </a:solidFill>
              <a:ln>
                <a:noFill/>
              </a:ln>
            </c:spPr>
          </c:marker>
          <c:val>
            <c:numRef>
              <c:f>'рис 3'!$B$3:$G$3</c:f>
              <c:numCache>
                <c:formatCode>General</c:formatCode>
                <c:ptCount val="6"/>
                <c:pt idx="0">
                  <c:v>4.9000000000000004</c:v>
                </c:pt>
                <c:pt idx="1">
                  <c:v>5.0999999999999996</c:v>
                </c:pt>
                <c:pt idx="2">
                  <c:v>5.4</c:v>
                </c:pt>
                <c:pt idx="3">
                  <c:v>5.8</c:v>
                </c:pt>
                <c:pt idx="4">
                  <c:v>5.0999999999999996</c:v>
                </c:pt>
                <c:pt idx="5">
                  <c:v>5.5</c:v>
                </c:pt>
              </c:numCache>
            </c:numRef>
          </c:val>
          <c:smooth val="0"/>
        </c:ser>
        <c:dLbls>
          <c:showLegendKey val="0"/>
          <c:showVal val="0"/>
          <c:showCatName val="0"/>
          <c:showSerName val="0"/>
          <c:showPercent val="0"/>
          <c:showBubbleSize val="0"/>
        </c:dLbls>
        <c:marker val="1"/>
        <c:smooth val="0"/>
        <c:axId val="367018368"/>
        <c:axId val="367017808"/>
      </c:lineChart>
      <c:catAx>
        <c:axId val="368303376"/>
        <c:scaling>
          <c:orientation val="minMax"/>
        </c:scaling>
        <c:delete val="0"/>
        <c:axPos val="b"/>
        <c:numFmt formatCode="General" sourceLinked="1"/>
        <c:majorTickMark val="none"/>
        <c:minorTickMark val="none"/>
        <c:tickLblPos val="nextTo"/>
        <c:spPr>
          <a:ln w="22225">
            <a:solidFill>
              <a:schemeClr val="tx1"/>
            </a:solidFill>
          </a:ln>
        </c:spPr>
        <c:crossAx val="367017248"/>
        <c:crosses val="autoZero"/>
        <c:auto val="1"/>
        <c:lblAlgn val="ctr"/>
        <c:lblOffset val="100"/>
        <c:noMultiLvlLbl val="0"/>
      </c:catAx>
      <c:valAx>
        <c:axId val="367017248"/>
        <c:scaling>
          <c:orientation val="minMax"/>
        </c:scaling>
        <c:delete val="0"/>
        <c:axPos val="l"/>
        <c:majorGridlines>
          <c:spPr>
            <a:ln>
              <a:solidFill>
                <a:schemeClr val="bg1">
                  <a:lumMod val="85000"/>
                </a:schemeClr>
              </a:solidFill>
              <a:prstDash val="sysDash"/>
            </a:ln>
          </c:spPr>
        </c:majorGridlines>
        <c:numFmt formatCode="General" sourceLinked="1"/>
        <c:majorTickMark val="none"/>
        <c:minorTickMark val="none"/>
        <c:tickLblPos val="nextTo"/>
        <c:spPr>
          <a:ln w="9525">
            <a:noFill/>
          </a:ln>
        </c:spPr>
        <c:crossAx val="368303376"/>
        <c:crosses val="autoZero"/>
        <c:crossBetween val="between"/>
      </c:valAx>
      <c:valAx>
        <c:axId val="367017808"/>
        <c:scaling>
          <c:orientation val="minMax"/>
        </c:scaling>
        <c:delete val="0"/>
        <c:axPos val="r"/>
        <c:numFmt formatCode="General" sourceLinked="1"/>
        <c:majorTickMark val="out"/>
        <c:minorTickMark val="none"/>
        <c:tickLblPos val="nextTo"/>
        <c:spPr>
          <a:ln>
            <a:noFill/>
          </a:ln>
        </c:spPr>
        <c:crossAx val="367018368"/>
        <c:crosses val="max"/>
        <c:crossBetween val="between"/>
      </c:valAx>
      <c:catAx>
        <c:axId val="367018368"/>
        <c:scaling>
          <c:orientation val="minMax"/>
        </c:scaling>
        <c:delete val="1"/>
        <c:axPos val="b"/>
        <c:majorTickMark val="out"/>
        <c:minorTickMark val="none"/>
        <c:tickLblPos val="nextTo"/>
        <c:crossAx val="367017808"/>
        <c:crosses val="autoZero"/>
        <c:auto val="1"/>
        <c:lblAlgn val="ctr"/>
        <c:lblOffset val="100"/>
        <c:noMultiLvlLbl val="0"/>
      </c:catAx>
    </c:plotArea>
    <c:legend>
      <c:legendPos val="r"/>
      <c:layout>
        <c:manualLayout>
          <c:xMode val="edge"/>
          <c:yMode val="edge"/>
          <c:x val="0.66825679368313395"/>
          <c:y val="0"/>
          <c:w val="0.32723589490058003"/>
          <c:h val="0.93019972068235801"/>
        </c:manualLayout>
      </c:layout>
      <c:overlay val="0"/>
      <c:txPr>
        <a:bodyPr/>
        <a:lstStyle/>
        <a:p>
          <a:pPr>
            <a:defRPr sz="900"/>
          </a:pPr>
          <a:endParaRPr lang="ru-RU"/>
        </a:p>
      </c:txPr>
    </c:legend>
    <c:plotVisOnly val="1"/>
    <c:dispBlanksAs val="gap"/>
    <c:showDLblsOverMax val="0"/>
  </c:chart>
  <c:spPr>
    <a:ln>
      <a:noFill/>
    </a:ln>
  </c:spPr>
  <c:txPr>
    <a:bodyPr/>
    <a:lstStyle/>
    <a:p>
      <a:pPr>
        <a:defRPr sz="1000">
          <a:latin typeface="Times New Roman" charset="0"/>
          <a:ea typeface="Times New Roman" charset="0"/>
          <a:cs typeface="Times New Roman"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395861267754197E-2"/>
          <c:y val="4.7286361450531299E-2"/>
          <c:w val="0.69013685261162305"/>
          <c:h val="0.79045105144772199"/>
        </c:manualLayout>
      </c:layout>
      <c:barChart>
        <c:barDir val="col"/>
        <c:grouping val="clustered"/>
        <c:varyColors val="0"/>
        <c:ser>
          <c:idx val="0"/>
          <c:order val="0"/>
          <c:tx>
            <c:strRef>
              <c:f>АПК!$A$120</c:f>
              <c:strCache>
                <c:ptCount val="1"/>
                <c:pt idx="0">
                  <c:v>Картофель, тонн</c:v>
                </c:pt>
              </c:strCache>
            </c:strRef>
          </c:tx>
          <c:spPr>
            <a:solidFill>
              <a:schemeClr val="tx2">
                <a:lumMod val="75000"/>
              </a:schemeClr>
            </a:solidFill>
          </c:spPr>
          <c:invertIfNegative val="0"/>
          <c:dLbls>
            <c:dLbl>
              <c:idx val="0"/>
              <c:layout>
                <c:manualLayout>
                  <c:x val="4.2487655873482598E-2"/>
                  <c:y val="2.2816620539065499E-7"/>
                </c:manualLayout>
              </c:layout>
              <c:numFmt formatCode="#,##0.0" sourceLinked="0"/>
              <c:spPr>
                <a:noFill/>
                <a:ln>
                  <a:noFill/>
                </a:ln>
                <a:effectLst/>
              </c:spPr>
              <c:txPr>
                <a:bodyPr wrap="square" lIns="38100" tIns="19050" rIns="38100" bIns="19050" anchor="ctr">
                  <a:noAutofit/>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013022327983"/>
                      <c:h val="0.115492713512231"/>
                    </c:manualLayout>
                  </c15:layout>
                </c:ext>
              </c:extLst>
            </c:dLbl>
            <c:dLbl>
              <c:idx val="5"/>
              <c:layout>
                <c:manualLayout>
                  <c:x val="0"/>
                  <c:y val="1.2603776468550799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АПК!$D$1:$I$1</c:f>
              <c:numCache>
                <c:formatCode>General</c:formatCode>
                <c:ptCount val="6"/>
                <c:pt idx="0">
                  <c:v>2011</c:v>
                </c:pt>
                <c:pt idx="1">
                  <c:v>2012</c:v>
                </c:pt>
                <c:pt idx="2">
                  <c:v>2013</c:v>
                </c:pt>
                <c:pt idx="3">
                  <c:v>2014</c:v>
                </c:pt>
                <c:pt idx="4">
                  <c:v>2015</c:v>
                </c:pt>
                <c:pt idx="5">
                  <c:v>2016</c:v>
                </c:pt>
              </c:numCache>
            </c:numRef>
          </c:cat>
          <c:val>
            <c:numRef>
              <c:f>АПК!$D$120:$I$120</c:f>
              <c:numCache>
                <c:formatCode>#,##0.00</c:formatCode>
                <c:ptCount val="6"/>
                <c:pt idx="0">
                  <c:v>6530</c:v>
                </c:pt>
                <c:pt idx="1">
                  <c:v>6552</c:v>
                </c:pt>
                <c:pt idx="2">
                  <c:v>6556</c:v>
                </c:pt>
                <c:pt idx="3">
                  <c:v>6561.4</c:v>
                </c:pt>
                <c:pt idx="4">
                  <c:v>6580</c:v>
                </c:pt>
                <c:pt idx="5">
                  <c:v>6600</c:v>
                </c:pt>
              </c:numCache>
            </c:numRef>
          </c:val>
        </c:ser>
        <c:ser>
          <c:idx val="2"/>
          <c:order val="1"/>
          <c:tx>
            <c:strRef>
              <c:f>АПК!$A$122</c:f>
              <c:strCache>
                <c:ptCount val="1"/>
                <c:pt idx="0">
                  <c:v>Молоко, тонн</c:v>
                </c:pt>
              </c:strCache>
            </c:strRef>
          </c:tx>
          <c:spPr>
            <a:solidFill>
              <a:schemeClr val="bg1">
                <a:lumMod val="50000"/>
              </a:schemeClr>
            </a:solidFill>
          </c:spPr>
          <c:invertIfNegative val="0"/>
          <c:dLbls>
            <c:dLbl>
              <c:idx val="0"/>
              <c:layout>
                <c:manualLayout>
                  <c:x val="2.3037542971668899E-2"/>
                  <c:y val="1.5754720585688602E-2"/>
                </c:manualLayout>
              </c:layout>
              <c:numFmt formatCode="#,##0.0" sourceLinked="0"/>
              <c:spPr>
                <a:noFill/>
                <a:ln>
                  <a:noFill/>
                </a:ln>
                <a:effectLs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АПК!$D$1:$I$1</c:f>
              <c:numCache>
                <c:formatCode>General</c:formatCode>
                <c:ptCount val="6"/>
                <c:pt idx="0">
                  <c:v>2011</c:v>
                </c:pt>
                <c:pt idx="1">
                  <c:v>2012</c:v>
                </c:pt>
                <c:pt idx="2">
                  <c:v>2013</c:v>
                </c:pt>
                <c:pt idx="3">
                  <c:v>2014</c:v>
                </c:pt>
                <c:pt idx="4">
                  <c:v>2015</c:v>
                </c:pt>
                <c:pt idx="5">
                  <c:v>2016</c:v>
                </c:pt>
              </c:numCache>
            </c:numRef>
          </c:cat>
          <c:val>
            <c:numRef>
              <c:f>АПК!$D$122:$I$122</c:f>
              <c:numCache>
                <c:formatCode>0.0</c:formatCode>
                <c:ptCount val="6"/>
                <c:pt idx="0" formatCode="#,##0.00">
                  <c:v>2384.1</c:v>
                </c:pt>
                <c:pt idx="1">
                  <c:v>2603.5500000000002</c:v>
                </c:pt>
                <c:pt idx="2">
                  <c:v>3015.6</c:v>
                </c:pt>
                <c:pt idx="3">
                  <c:v>3305.1</c:v>
                </c:pt>
                <c:pt idx="4">
                  <c:v>3866</c:v>
                </c:pt>
                <c:pt idx="5">
                  <c:v>3983.58</c:v>
                </c:pt>
              </c:numCache>
            </c:numRef>
          </c:val>
        </c:ser>
        <c:ser>
          <c:idx val="4"/>
          <c:order val="2"/>
          <c:tx>
            <c:strRef>
              <c:f>АПК!$A$124</c:f>
              <c:strCache>
                <c:ptCount val="1"/>
                <c:pt idx="0">
                  <c:v>Мясо, тонн</c:v>
                </c:pt>
              </c:strCache>
            </c:strRef>
          </c:tx>
          <c:spPr>
            <a:solidFill>
              <a:srgbClr val="7F0012"/>
            </a:solidFill>
          </c:spPr>
          <c:invertIfNegative val="0"/>
          <c:dLbls>
            <c:dLbl>
              <c:idx val="0"/>
              <c:layout>
                <c:manualLayout>
                  <c:x val="3.0716723962224998E-3"/>
                  <c:y val="6.3018882342754197E-3"/>
                </c:manualLayout>
              </c:layout>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АПК!$D$1:$I$1</c:f>
              <c:numCache>
                <c:formatCode>General</c:formatCode>
                <c:ptCount val="6"/>
                <c:pt idx="0">
                  <c:v>2011</c:v>
                </c:pt>
                <c:pt idx="1">
                  <c:v>2012</c:v>
                </c:pt>
                <c:pt idx="2">
                  <c:v>2013</c:v>
                </c:pt>
                <c:pt idx="3">
                  <c:v>2014</c:v>
                </c:pt>
                <c:pt idx="4">
                  <c:v>2015</c:v>
                </c:pt>
                <c:pt idx="5">
                  <c:v>2016</c:v>
                </c:pt>
              </c:numCache>
            </c:numRef>
          </c:cat>
          <c:val>
            <c:numRef>
              <c:f>АПК!$D$124:$I$124</c:f>
              <c:numCache>
                <c:formatCode>0.0</c:formatCode>
                <c:ptCount val="6"/>
                <c:pt idx="0" formatCode="General">
                  <c:v>618.20000000000005</c:v>
                </c:pt>
                <c:pt idx="1">
                  <c:v>688.1</c:v>
                </c:pt>
                <c:pt idx="2">
                  <c:v>700.7</c:v>
                </c:pt>
                <c:pt idx="3">
                  <c:v>703.8299999999997</c:v>
                </c:pt>
                <c:pt idx="4">
                  <c:v>1122</c:v>
                </c:pt>
                <c:pt idx="5">
                  <c:v>1150.9000000000001</c:v>
                </c:pt>
              </c:numCache>
            </c:numRef>
          </c:val>
        </c:ser>
        <c:dLbls>
          <c:showLegendKey val="0"/>
          <c:showVal val="0"/>
          <c:showCatName val="0"/>
          <c:showSerName val="0"/>
          <c:showPercent val="0"/>
          <c:showBubbleSize val="0"/>
        </c:dLbls>
        <c:gapWidth val="37"/>
        <c:overlap val="19"/>
        <c:axId val="357933024"/>
        <c:axId val="357933584"/>
      </c:barChart>
      <c:catAx>
        <c:axId val="357933024"/>
        <c:scaling>
          <c:orientation val="minMax"/>
        </c:scaling>
        <c:delete val="0"/>
        <c:axPos val="b"/>
        <c:numFmt formatCode="General" sourceLinked="1"/>
        <c:majorTickMark val="none"/>
        <c:minorTickMark val="none"/>
        <c:tickLblPos val="nextTo"/>
        <c:spPr>
          <a:ln w="22225">
            <a:solidFill>
              <a:schemeClr val="tx1"/>
            </a:solidFill>
          </a:ln>
        </c:spPr>
        <c:crossAx val="357933584"/>
        <c:crosses val="autoZero"/>
        <c:auto val="1"/>
        <c:lblAlgn val="ctr"/>
        <c:lblOffset val="100"/>
        <c:noMultiLvlLbl val="0"/>
      </c:catAx>
      <c:valAx>
        <c:axId val="357933584"/>
        <c:scaling>
          <c:orientation val="minMax"/>
        </c:scaling>
        <c:delete val="0"/>
        <c:axPos val="l"/>
        <c:majorGridlines>
          <c:spPr>
            <a:ln>
              <a:solidFill>
                <a:schemeClr val="bg1">
                  <a:lumMod val="85000"/>
                </a:schemeClr>
              </a:solidFill>
              <a:prstDash val="sysDash"/>
            </a:ln>
          </c:spPr>
        </c:majorGridlines>
        <c:numFmt formatCode="#,##0" sourceLinked="0"/>
        <c:majorTickMark val="out"/>
        <c:minorTickMark val="none"/>
        <c:tickLblPos val="nextTo"/>
        <c:spPr>
          <a:ln>
            <a:noFill/>
          </a:ln>
        </c:spPr>
        <c:crossAx val="357933024"/>
        <c:crosses val="autoZero"/>
        <c:crossBetween val="between"/>
      </c:valAx>
    </c:plotArea>
    <c:legend>
      <c:legendPos val="r"/>
      <c:layout>
        <c:manualLayout>
          <c:xMode val="edge"/>
          <c:yMode val="edge"/>
          <c:x val="0.77424526046391196"/>
          <c:y val="0.187522904229696"/>
          <c:w val="0.209088135350946"/>
          <c:h val="0.55873056611774297"/>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962162575572202E-2"/>
          <c:y val="4.1722378635514E-2"/>
          <c:w val="0.57665107435341101"/>
          <c:h val="0.75773889259693195"/>
        </c:manualLayout>
      </c:layout>
      <c:barChart>
        <c:barDir val="col"/>
        <c:grouping val="clustered"/>
        <c:varyColors val="0"/>
        <c:ser>
          <c:idx val="0"/>
          <c:order val="0"/>
          <c:tx>
            <c:strRef>
              <c:f>'Стройка, ЖКХ'!$A$18</c:f>
              <c:strCache>
                <c:ptCount val="1"/>
                <c:pt idx="0">
                  <c:v>Объем работ, млн. рублей в ценах соответствующих лет_x000d_</c:v>
                </c:pt>
              </c:strCache>
            </c:strRef>
          </c:tx>
          <c:spPr>
            <a:solidFill>
              <a:schemeClr val="tx2">
                <a:lumMod val="75000"/>
              </a:schemeClr>
            </a:solidFill>
          </c:spPr>
          <c:invertIfNegative val="0"/>
          <c:dLbls>
            <c:dLbl>
              <c:idx val="3"/>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'Стройка, ЖКХ'!$D$1:$J$1</c:f>
              <c:strCache>
                <c:ptCount val="7"/>
                <c:pt idx="0">
                  <c:v>2011</c:v>
                </c:pt>
                <c:pt idx="1">
                  <c:v>2012</c:v>
                </c:pt>
                <c:pt idx="2">
                  <c:v>2013</c:v>
                </c:pt>
                <c:pt idx="3">
                  <c:v>2014</c:v>
                </c:pt>
                <c:pt idx="4">
                  <c:v>2015</c:v>
                </c:pt>
                <c:pt idx="5">
                  <c:v>2016</c:v>
                </c:pt>
                <c:pt idx="6">
                  <c:v>2017 (оценка)</c:v>
                </c:pt>
              </c:strCache>
            </c:strRef>
          </c:cat>
          <c:val>
            <c:numRef>
              <c:f>'Стройка, ЖКХ'!$D$18:$J$18</c:f>
              <c:numCache>
                <c:formatCode>General</c:formatCode>
                <c:ptCount val="7"/>
                <c:pt idx="0">
                  <c:v>4649.7</c:v>
                </c:pt>
                <c:pt idx="1">
                  <c:v>4241.2</c:v>
                </c:pt>
                <c:pt idx="2">
                  <c:v>2544.6</c:v>
                </c:pt>
                <c:pt idx="3">
                  <c:v>3167.7</c:v>
                </c:pt>
                <c:pt idx="4">
                  <c:v>4176.8999999999996</c:v>
                </c:pt>
                <c:pt idx="5">
                  <c:v>3533.7</c:v>
                </c:pt>
                <c:pt idx="6">
                  <c:v>3491.3</c:v>
                </c:pt>
              </c:numCache>
            </c:numRef>
          </c:val>
        </c:ser>
        <c:dLbls>
          <c:showLegendKey val="0"/>
          <c:showVal val="0"/>
          <c:showCatName val="0"/>
          <c:showSerName val="0"/>
          <c:showPercent val="0"/>
          <c:showBubbleSize val="0"/>
        </c:dLbls>
        <c:gapWidth val="30"/>
        <c:overlap val="-25"/>
        <c:axId val="357936384"/>
        <c:axId val="357936944"/>
      </c:barChart>
      <c:lineChart>
        <c:grouping val="standard"/>
        <c:varyColors val="0"/>
        <c:ser>
          <c:idx val="1"/>
          <c:order val="1"/>
          <c:tx>
            <c:strRef>
              <c:f>'Стройка, ЖКХ'!$A$19</c:f>
              <c:strCache>
                <c:ptCount val="1"/>
                <c:pt idx="0">
                  <c:v>Индекс производства, % к предыдущему году в сопоставимых ценах_x000d_</c:v>
                </c:pt>
              </c:strCache>
            </c:strRef>
          </c:tx>
          <c:spPr>
            <a:ln>
              <a:solidFill>
                <a:srgbClr val="67011C"/>
              </a:solidFill>
            </a:ln>
          </c:spPr>
          <c:marker>
            <c:spPr>
              <a:solidFill>
                <a:srgbClr val="67011C"/>
              </a:solidFill>
              <a:ln>
                <a:noFill/>
              </a:ln>
            </c:spPr>
          </c:marker>
          <c:dLbls>
            <c:dLbl>
              <c:idx val="2"/>
              <c:layout>
                <c:manualLayout>
                  <c:x val="-3.0266250056898199E-2"/>
                  <c:y val="4.28321966327303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292875062587997E-2"/>
                  <c:y val="-4.612698098909429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292875062587997E-2"/>
                  <c:y val="4.942176534545809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3292875062587997E-2"/>
                  <c:y val="3.624262792000260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1779562559743103E-2"/>
                  <c:y val="4.2832196632730399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'Стройка, ЖКХ'!$D$1:$J$1</c:f>
              <c:strCache>
                <c:ptCount val="7"/>
                <c:pt idx="0">
                  <c:v>2011</c:v>
                </c:pt>
                <c:pt idx="1">
                  <c:v>2012</c:v>
                </c:pt>
                <c:pt idx="2">
                  <c:v>2013</c:v>
                </c:pt>
                <c:pt idx="3">
                  <c:v>2014</c:v>
                </c:pt>
                <c:pt idx="4">
                  <c:v>2015</c:v>
                </c:pt>
                <c:pt idx="5">
                  <c:v>2016</c:v>
                </c:pt>
                <c:pt idx="6">
                  <c:v>2017 (оценка)</c:v>
                </c:pt>
              </c:strCache>
            </c:strRef>
          </c:cat>
          <c:val>
            <c:numRef>
              <c:f>'Стройка, ЖКХ'!$D$19:$J$19</c:f>
              <c:numCache>
                <c:formatCode>General</c:formatCode>
                <c:ptCount val="7"/>
                <c:pt idx="0">
                  <c:v>183.6</c:v>
                </c:pt>
                <c:pt idx="1">
                  <c:v>99.1</c:v>
                </c:pt>
                <c:pt idx="2">
                  <c:v>54.8</c:v>
                </c:pt>
                <c:pt idx="3">
                  <c:v>138.5</c:v>
                </c:pt>
                <c:pt idx="4">
                  <c:v>121.9</c:v>
                </c:pt>
                <c:pt idx="5">
                  <c:v>81.400000000000006</c:v>
                </c:pt>
                <c:pt idx="6">
                  <c:v>94.3</c:v>
                </c:pt>
              </c:numCache>
            </c:numRef>
          </c:val>
          <c:smooth val="0"/>
        </c:ser>
        <c:dLbls>
          <c:showLegendKey val="0"/>
          <c:showVal val="0"/>
          <c:showCatName val="0"/>
          <c:showSerName val="0"/>
          <c:showPercent val="0"/>
          <c:showBubbleSize val="0"/>
        </c:dLbls>
        <c:marker val="1"/>
        <c:smooth val="0"/>
        <c:axId val="357938064"/>
        <c:axId val="357937504"/>
      </c:lineChart>
      <c:catAx>
        <c:axId val="357936384"/>
        <c:scaling>
          <c:orientation val="minMax"/>
        </c:scaling>
        <c:delete val="0"/>
        <c:axPos val="b"/>
        <c:numFmt formatCode="General" sourceLinked="0"/>
        <c:majorTickMark val="none"/>
        <c:minorTickMark val="none"/>
        <c:tickLblPos val="nextTo"/>
        <c:spPr>
          <a:ln w="25400">
            <a:solidFill>
              <a:schemeClr val="tx1"/>
            </a:solidFill>
          </a:ln>
        </c:spPr>
        <c:crossAx val="357936944"/>
        <c:crosses val="autoZero"/>
        <c:auto val="1"/>
        <c:lblAlgn val="ctr"/>
        <c:lblOffset val="100"/>
        <c:noMultiLvlLbl val="0"/>
      </c:catAx>
      <c:valAx>
        <c:axId val="357936944"/>
        <c:scaling>
          <c:orientation val="minMax"/>
        </c:scaling>
        <c:delete val="0"/>
        <c:axPos val="l"/>
        <c:majorGridlines>
          <c:spPr>
            <a:ln>
              <a:solidFill>
                <a:schemeClr val="bg1">
                  <a:lumMod val="85000"/>
                </a:schemeClr>
              </a:solidFill>
              <a:prstDash val="sysDash"/>
            </a:ln>
          </c:spPr>
        </c:majorGridlines>
        <c:numFmt formatCode="General" sourceLinked="1"/>
        <c:majorTickMark val="none"/>
        <c:minorTickMark val="none"/>
        <c:tickLblPos val="nextTo"/>
        <c:spPr>
          <a:ln w="9525">
            <a:noFill/>
          </a:ln>
        </c:spPr>
        <c:crossAx val="357936384"/>
        <c:crosses val="autoZero"/>
        <c:crossBetween val="between"/>
      </c:valAx>
      <c:valAx>
        <c:axId val="357937504"/>
        <c:scaling>
          <c:orientation val="minMax"/>
        </c:scaling>
        <c:delete val="0"/>
        <c:axPos val="r"/>
        <c:numFmt formatCode="General" sourceLinked="1"/>
        <c:majorTickMark val="out"/>
        <c:minorTickMark val="none"/>
        <c:tickLblPos val="nextTo"/>
        <c:spPr>
          <a:ln>
            <a:noFill/>
          </a:ln>
        </c:spPr>
        <c:crossAx val="357938064"/>
        <c:crosses val="max"/>
        <c:crossBetween val="between"/>
      </c:valAx>
      <c:catAx>
        <c:axId val="357938064"/>
        <c:scaling>
          <c:orientation val="minMax"/>
        </c:scaling>
        <c:delete val="1"/>
        <c:axPos val="b"/>
        <c:numFmt formatCode="General" sourceLinked="0"/>
        <c:majorTickMark val="out"/>
        <c:minorTickMark val="none"/>
        <c:tickLblPos val="nextTo"/>
        <c:crossAx val="357937504"/>
        <c:crosses val="autoZero"/>
        <c:auto val="1"/>
        <c:lblAlgn val="ctr"/>
        <c:lblOffset val="100"/>
        <c:noMultiLvlLbl val="0"/>
      </c:catAx>
    </c:plotArea>
    <c:legend>
      <c:legendPos val="r"/>
      <c:layout>
        <c:manualLayout>
          <c:xMode val="edge"/>
          <c:yMode val="edge"/>
          <c:x val="0.70456459336025601"/>
          <c:y val="5.3784615097386697E-2"/>
          <c:w val="0.29543540663974399"/>
          <c:h val="0.69404244593907105"/>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556829852790098E-2"/>
          <c:y val="4.3660789252728802E-2"/>
          <c:w val="0.54079253680246497"/>
          <c:h val="0.830221146789901"/>
        </c:manualLayout>
      </c:layout>
      <c:barChart>
        <c:barDir val="col"/>
        <c:grouping val="clustered"/>
        <c:varyColors val="0"/>
        <c:ser>
          <c:idx val="0"/>
          <c:order val="0"/>
          <c:tx>
            <c:strRef>
              <c:f>'Стройка, ЖКХ'!$A$2</c:f>
              <c:strCache>
                <c:ptCount val="1"/>
                <c:pt idx="0">
                  <c:v>Ввод в действие жилых домов, м. кв. общей площади</c:v>
                </c:pt>
              </c:strCache>
            </c:strRef>
          </c:tx>
          <c:spPr>
            <a:solidFill>
              <a:schemeClr val="tx2">
                <a:lumMod val="75000"/>
              </a:schemeClr>
            </a:solidFill>
          </c:spPr>
          <c:invertIfNegative val="0"/>
          <c:dLbls>
            <c:dLbl>
              <c:idx val="2"/>
              <c:layout>
                <c:manualLayout>
                  <c:x val="2.5233409033560399E-3"/>
                  <c:y val="2.50187640730548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'Стройка, ЖКХ'!$D$1:$I$1</c:f>
              <c:numCache>
                <c:formatCode>General</c:formatCode>
                <c:ptCount val="6"/>
                <c:pt idx="0">
                  <c:v>2011</c:v>
                </c:pt>
                <c:pt idx="1">
                  <c:v>2012</c:v>
                </c:pt>
                <c:pt idx="2">
                  <c:v>2013</c:v>
                </c:pt>
                <c:pt idx="3">
                  <c:v>2014</c:v>
                </c:pt>
                <c:pt idx="4">
                  <c:v>2015</c:v>
                </c:pt>
                <c:pt idx="5">
                  <c:v>2016</c:v>
                </c:pt>
              </c:numCache>
            </c:numRef>
          </c:cat>
          <c:val>
            <c:numRef>
              <c:f>'Стройка, ЖКХ'!$D$2:$I$2</c:f>
              <c:numCache>
                <c:formatCode>General</c:formatCode>
                <c:ptCount val="6"/>
                <c:pt idx="0">
                  <c:v>8117</c:v>
                </c:pt>
                <c:pt idx="1">
                  <c:v>20899</c:v>
                </c:pt>
                <c:pt idx="2">
                  <c:v>23039</c:v>
                </c:pt>
                <c:pt idx="3">
                  <c:v>11696</c:v>
                </c:pt>
                <c:pt idx="4">
                  <c:v>34257</c:v>
                </c:pt>
                <c:pt idx="5">
                  <c:v>11626</c:v>
                </c:pt>
              </c:numCache>
            </c:numRef>
          </c:val>
        </c:ser>
        <c:ser>
          <c:idx val="1"/>
          <c:order val="1"/>
          <c:tx>
            <c:strRef>
              <c:f>'Стройка, ЖКХ'!$A$3</c:f>
              <c:strCache>
                <c:ptCount val="1"/>
                <c:pt idx="0">
                  <c:v>Ввод в действие индивидуальных жилых домов, м. кв. общей площади</c:v>
                </c:pt>
              </c:strCache>
            </c:strRef>
          </c:tx>
          <c:spPr>
            <a:solidFill>
              <a:schemeClr val="bg1">
                <a:lumMod val="50000"/>
              </a:schemeClr>
            </a:solidFill>
          </c:spPr>
          <c:invertIfNegative val="0"/>
          <c:cat>
            <c:numRef>
              <c:f>'Стройка, ЖКХ'!$D$1:$I$1</c:f>
              <c:numCache>
                <c:formatCode>General</c:formatCode>
                <c:ptCount val="6"/>
                <c:pt idx="0">
                  <c:v>2011</c:v>
                </c:pt>
                <c:pt idx="1">
                  <c:v>2012</c:v>
                </c:pt>
                <c:pt idx="2">
                  <c:v>2013</c:v>
                </c:pt>
                <c:pt idx="3">
                  <c:v>2014</c:v>
                </c:pt>
                <c:pt idx="4">
                  <c:v>2015</c:v>
                </c:pt>
                <c:pt idx="5">
                  <c:v>2016</c:v>
                </c:pt>
              </c:numCache>
            </c:numRef>
          </c:cat>
          <c:val>
            <c:numRef>
              <c:f>'Стройка, ЖКХ'!$D$3:$I$3</c:f>
              <c:numCache>
                <c:formatCode>General</c:formatCode>
                <c:ptCount val="6"/>
                <c:pt idx="0">
                  <c:v>5498</c:v>
                </c:pt>
                <c:pt idx="1">
                  <c:v>9453</c:v>
                </c:pt>
                <c:pt idx="2">
                  <c:v>4087</c:v>
                </c:pt>
                <c:pt idx="3">
                  <c:v>4871</c:v>
                </c:pt>
                <c:pt idx="4">
                  <c:v>3637</c:v>
                </c:pt>
                <c:pt idx="5">
                  <c:v>2397</c:v>
                </c:pt>
              </c:numCache>
            </c:numRef>
          </c:val>
        </c:ser>
        <c:dLbls>
          <c:showLegendKey val="0"/>
          <c:showVal val="0"/>
          <c:showCatName val="0"/>
          <c:showSerName val="0"/>
          <c:showPercent val="0"/>
          <c:showBubbleSize val="0"/>
        </c:dLbls>
        <c:gapWidth val="33"/>
        <c:overlap val="25"/>
        <c:axId val="245913968"/>
        <c:axId val="245914528"/>
      </c:barChart>
      <c:lineChart>
        <c:grouping val="standard"/>
        <c:varyColors val="0"/>
        <c:ser>
          <c:idx val="2"/>
          <c:order val="2"/>
          <c:tx>
            <c:strRef>
              <c:f>'Стройка, ЖКХ'!$A$8</c:f>
              <c:strCache>
                <c:ptCount val="1"/>
                <c:pt idx="0">
                  <c:v>Количество выданных разрешений на строительство, ед. (правая шкала)</c:v>
                </c:pt>
              </c:strCache>
            </c:strRef>
          </c:tx>
          <c:spPr>
            <a:ln>
              <a:solidFill>
                <a:srgbClr val="7F0012"/>
              </a:solidFill>
            </a:ln>
          </c:spPr>
          <c:marker>
            <c:symbol val="triangle"/>
            <c:size val="9"/>
            <c:spPr>
              <a:solidFill>
                <a:srgbClr val="7F0012"/>
              </a:solidFill>
              <a:ln>
                <a:noFill/>
              </a:ln>
            </c:spPr>
          </c:marker>
          <c:cat>
            <c:numRef>
              <c:f>'Стройка, ЖКХ'!$C$1:$I$1</c:f>
              <c:numCache>
                <c:formatCode>General</c:formatCode>
                <c:ptCount val="7"/>
                <c:pt idx="0">
                  <c:v>2010</c:v>
                </c:pt>
                <c:pt idx="1">
                  <c:v>2011</c:v>
                </c:pt>
                <c:pt idx="2">
                  <c:v>2012</c:v>
                </c:pt>
                <c:pt idx="3">
                  <c:v>2013</c:v>
                </c:pt>
                <c:pt idx="4">
                  <c:v>2014</c:v>
                </c:pt>
                <c:pt idx="5">
                  <c:v>2015</c:v>
                </c:pt>
                <c:pt idx="6">
                  <c:v>2016</c:v>
                </c:pt>
              </c:numCache>
            </c:numRef>
          </c:cat>
          <c:val>
            <c:numRef>
              <c:f>'Стройка, ЖКХ'!$D$8:$I$8</c:f>
              <c:numCache>
                <c:formatCode>General</c:formatCode>
                <c:ptCount val="6"/>
                <c:pt idx="0">
                  <c:v>64</c:v>
                </c:pt>
                <c:pt idx="1">
                  <c:v>58</c:v>
                </c:pt>
                <c:pt idx="2">
                  <c:v>52</c:v>
                </c:pt>
                <c:pt idx="3">
                  <c:v>76</c:v>
                </c:pt>
                <c:pt idx="4">
                  <c:v>64</c:v>
                </c:pt>
                <c:pt idx="5">
                  <c:v>48</c:v>
                </c:pt>
              </c:numCache>
            </c:numRef>
          </c:val>
          <c:smooth val="0"/>
        </c:ser>
        <c:ser>
          <c:idx val="3"/>
          <c:order val="3"/>
          <c:tx>
            <c:strRef>
              <c:f>'Стройка, ЖКХ'!$A$9</c:f>
              <c:strCache>
                <c:ptCount val="1"/>
                <c:pt idx="0">
                  <c:v>Количество выданных разрешений на ввод объектов в эксплуатацию, ед. (правая шкала)</c:v>
                </c:pt>
              </c:strCache>
            </c:strRef>
          </c:tx>
          <c:spPr>
            <a:ln>
              <a:solidFill>
                <a:schemeClr val="bg1">
                  <a:lumMod val="75000"/>
                </a:schemeClr>
              </a:solidFill>
            </a:ln>
          </c:spPr>
          <c:marker>
            <c:symbol val="square"/>
            <c:size val="9"/>
            <c:spPr>
              <a:solidFill>
                <a:schemeClr val="bg1">
                  <a:lumMod val="75000"/>
                </a:schemeClr>
              </a:solidFill>
              <a:ln>
                <a:noFill/>
              </a:ln>
            </c:spPr>
          </c:marker>
          <c:cat>
            <c:numRef>
              <c:f>'Стройка, ЖКХ'!$C$1:$I$1</c:f>
              <c:numCache>
                <c:formatCode>General</c:formatCode>
                <c:ptCount val="7"/>
                <c:pt idx="0">
                  <c:v>2010</c:v>
                </c:pt>
                <c:pt idx="1">
                  <c:v>2011</c:v>
                </c:pt>
                <c:pt idx="2">
                  <c:v>2012</c:v>
                </c:pt>
                <c:pt idx="3">
                  <c:v>2013</c:v>
                </c:pt>
                <c:pt idx="4">
                  <c:v>2014</c:v>
                </c:pt>
                <c:pt idx="5">
                  <c:v>2015</c:v>
                </c:pt>
                <c:pt idx="6">
                  <c:v>2016</c:v>
                </c:pt>
              </c:numCache>
            </c:numRef>
          </c:cat>
          <c:val>
            <c:numRef>
              <c:f>'Стройка, ЖКХ'!$D$9:$I$9</c:f>
              <c:numCache>
                <c:formatCode>General</c:formatCode>
                <c:ptCount val="6"/>
                <c:pt idx="0">
                  <c:v>12</c:v>
                </c:pt>
                <c:pt idx="1">
                  <c:v>16</c:v>
                </c:pt>
                <c:pt idx="2">
                  <c:v>19</c:v>
                </c:pt>
                <c:pt idx="3">
                  <c:v>16</c:v>
                </c:pt>
                <c:pt idx="4">
                  <c:v>18</c:v>
                </c:pt>
                <c:pt idx="5">
                  <c:v>15</c:v>
                </c:pt>
              </c:numCache>
            </c:numRef>
          </c:val>
          <c:smooth val="0"/>
        </c:ser>
        <c:dLbls>
          <c:showLegendKey val="0"/>
          <c:showVal val="0"/>
          <c:showCatName val="0"/>
          <c:showSerName val="0"/>
          <c:showPercent val="0"/>
          <c:showBubbleSize val="0"/>
        </c:dLbls>
        <c:marker val="1"/>
        <c:smooth val="0"/>
        <c:axId val="245915648"/>
        <c:axId val="245915088"/>
      </c:lineChart>
      <c:catAx>
        <c:axId val="245913968"/>
        <c:scaling>
          <c:orientation val="minMax"/>
        </c:scaling>
        <c:delete val="0"/>
        <c:axPos val="b"/>
        <c:numFmt formatCode="General" sourceLinked="1"/>
        <c:majorTickMark val="none"/>
        <c:minorTickMark val="none"/>
        <c:tickLblPos val="nextTo"/>
        <c:spPr>
          <a:ln w="25400">
            <a:solidFill>
              <a:schemeClr val="tx1"/>
            </a:solidFill>
          </a:ln>
        </c:spPr>
        <c:crossAx val="245914528"/>
        <c:crosses val="autoZero"/>
        <c:auto val="1"/>
        <c:lblAlgn val="ctr"/>
        <c:lblOffset val="100"/>
        <c:noMultiLvlLbl val="0"/>
      </c:catAx>
      <c:valAx>
        <c:axId val="245914528"/>
        <c:scaling>
          <c:orientation val="minMax"/>
        </c:scaling>
        <c:delete val="0"/>
        <c:axPos val="l"/>
        <c:majorGridlines>
          <c:spPr>
            <a:ln>
              <a:solidFill>
                <a:schemeClr val="bg1">
                  <a:lumMod val="85000"/>
                </a:schemeClr>
              </a:solidFill>
              <a:prstDash val="sysDash"/>
            </a:ln>
          </c:spPr>
        </c:majorGridlines>
        <c:numFmt formatCode="General" sourceLinked="1"/>
        <c:majorTickMark val="out"/>
        <c:minorTickMark val="none"/>
        <c:tickLblPos val="nextTo"/>
        <c:spPr>
          <a:ln>
            <a:noFill/>
          </a:ln>
        </c:spPr>
        <c:crossAx val="245913968"/>
        <c:crosses val="autoZero"/>
        <c:crossBetween val="between"/>
      </c:valAx>
      <c:valAx>
        <c:axId val="245915088"/>
        <c:scaling>
          <c:orientation val="minMax"/>
        </c:scaling>
        <c:delete val="0"/>
        <c:axPos val="r"/>
        <c:numFmt formatCode="General" sourceLinked="1"/>
        <c:majorTickMark val="out"/>
        <c:minorTickMark val="none"/>
        <c:tickLblPos val="nextTo"/>
        <c:spPr>
          <a:ln>
            <a:noFill/>
          </a:ln>
        </c:spPr>
        <c:crossAx val="245915648"/>
        <c:crosses val="max"/>
        <c:crossBetween val="between"/>
      </c:valAx>
      <c:catAx>
        <c:axId val="245915648"/>
        <c:scaling>
          <c:orientation val="minMax"/>
        </c:scaling>
        <c:delete val="1"/>
        <c:axPos val="b"/>
        <c:numFmt formatCode="General" sourceLinked="1"/>
        <c:majorTickMark val="out"/>
        <c:minorTickMark val="none"/>
        <c:tickLblPos val="nextTo"/>
        <c:crossAx val="245915088"/>
        <c:crosses val="autoZero"/>
        <c:auto val="1"/>
        <c:lblAlgn val="ctr"/>
        <c:lblOffset val="100"/>
        <c:noMultiLvlLbl val="0"/>
      </c:catAx>
    </c:plotArea>
    <c:legend>
      <c:legendPos val="r"/>
      <c:layout>
        <c:manualLayout>
          <c:xMode val="edge"/>
          <c:yMode val="edge"/>
          <c:x val="0.65552777777777804"/>
          <c:y val="3.5446297559261798E-2"/>
          <c:w val="0.32780555555555602"/>
          <c:h val="0.876613966561266"/>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01682733583498E-2"/>
          <c:y val="3.5961272475795301E-2"/>
          <c:w val="0.57523686892079695"/>
          <c:h val="0.80007636330809795"/>
        </c:manualLayout>
      </c:layout>
      <c:barChart>
        <c:barDir val="col"/>
        <c:grouping val="clustered"/>
        <c:varyColors val="0"/>
        <c:ser>
          <c:idx val="0"/>
          <c:order val="0"/>
          <c:tx>
            <c:strRef>
              <c:f>Инвестиции!$A$10</c:f>
              <c:strCache>
                <c:ptCount val="1"/>
                <c:pt idx="0">
                  <c:v>Объем инвестиций в основной капитал за счет всех источников финансирования, млрд руб._x000d_</c:v>
                </c:pt>
              </c:strCache>
            </c:strRef>
          </c:tx>
          <c:spPr>
            <a:solidFill>
              <a:schemeClr val="tx2">
                <a:lumMod val="75000"/>
              </a:schemeClr>
            </a:solidFill>
          </c:spPr>
          <c:invertIfNegative val="0"/>
          <c:dLbls>
            <c:spPr>
              <a:noFill/>
              <a:ln>
                <a:noFill/>
              </a:ln>
              <a:effectLst/>
            </c:spPr>
            <c:txPr>
              <a:bodyPr/>
              <a:lstStyle/>
              <a:p>
                <a:pPr>
                  <a:defRPr sz="900" b="1">
                    <a:solidFill>
                      <a:schemeClr val="bg1"/>
                    </a:solidFill>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Инвестиции!$D$1:$J$1</c:f>
              <c:strCache>
                <c:ptCount val="7"/>
                <c:pt idx="0">
                  <c:v>2011</c:v>
                </c:pt>
                <c:pt idx="1">
                  <c:v>2012</c:v>
                </c:pt>
                <c:pt idx="2">
                  <c:v>2013</c:v>
                </c:pt>
                <c:pt idx="3">
                  <c:v>2014</c:v>
                </c:pt>
                <c:pt idx="4">
                  <c:v>2015</c:v>
                </c:pt>
                <c:pt idx="5">
                  <c:v>2016</c:v>
                </c:pt>
                <c:pt idx="6">
                  <c:v>2017 (оценка)</c:v>
                </c:pt>
              </c:strCache>
            </c:strRef>
          </c:cat>
          <c:val>
            <c:numRef>
              <c:f>Инвестиции!$D$9:$J$9</c:f>
              <c:numCache>
                <c:formatCode>0.0</c:formatCode>
                <c:ptCount val="7"/>
                <c:pt idx="0">
                  <c:v>106.3749</c:v>
                </c:pt>
                <c:pt idx="1">
                  <c:v>119.00960000000001</c:v>
                </c:pt>
                <c:pt idx="2">
                  <c:v>70.492800000000003</c:v>
                </c:pt>
                <c:pt idx="3">
                  <c:v>67.55889999999998</c:v>
                </c:pt>
                <c:pt idx="4">
                  <c:v>88.007099999999994</c:v>
                </c:pt>
                <c:pt idx="5">
                  <c:v>111.3959</c:v>
                </c:pt>
                <c:pt idx="6">
                  <c:v>118.7747</c:v>
                </c:pt>
              </c:numCache>
            </c:numRef>
          </c:val>
        </c:ser>
        <c:dLbls>
          <c:showLegendKey val="0"/>
          <c:showVal val="0"/>
          <c:showCatName val="0"/>
          <c:showSerName val="0"/>
          <c:showPercent val="0"/>
          <c:showBubbleSize val="0"/>
        </c:dLbls>
        <c:gapWidth val="30"/>
        <c:overlap val="-25"/>
        <c:axId val="404434384"/>
        <c:axId val="404434944"/>
      </c:barChart>
      <c:lineChart>
        <c:grouping val="standard"/>
        <c:varyColors val="0"/>
        <c:ser>
          <c:idx val="1"/>
          <c:order val="1"/>
          <c:tx>
            <c:strRef>
              <c:f>Инвестиции!$A$11</c:f>
              <c:strCache>
                <c:ptCount val="1"/>
                <c:pt idx="0">
                  <c:v>Индекс физического объема, % к предыдущему году в сопоставимых ценах (правая шкала)_x000d_</c:v>
                </c:pt>
              </c:strCache>
            </c:strRef>
          </c:tx>
          <c:spPr>
            <a:ln>
              <a:solidFill>
                <a:srgbClr val="67011C"/>
              </a:solidFill>
            </a:ln>
          </c:spPr>
          <c:marker>
            <c:spPr>
              <a:solidFill>
                <a:srgbClr val="67011C"/>
              </a:solidFill>
              <a:ln>
                <a:noFill/>
              </a:ln>
            </c:spPr>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3.7383177570093497E-2"/>
                  <c:y val="-4.979253112033189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7383177570093497E-2"/>
                  <c:y val="3.872752420470260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498442367601299E-2"/>
                  <c:y val="-4.9792531120331898E-2"/>
                </c:manualLayout>
              </c:layout>
              <c:numFmt formatCode="#,##0.0" sourceLinked="0"/>
              <c:spPr>
                <a:solidFill>
                  <a:schemeClr val="bg1"/>
                </a:solidFill>
                <a:ln>
                  <a:solidFill>
                    <a:srgbClr val="67011C"/>
                  </a:solidFill>
                </a:ln>
                <a:effectLs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4.3613707165108997E-2"/>
                  <c:y val="-4.702627939142459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8940809968847502E-2"/>
                  <c:y val="3.8727524204702601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Инвестиции!$D$1:$J$1</c:f>
              <c:strCache>
                <c:ptCount val="7"/>
                <c:pt idx="0">
                  <c:v>2011</c:v>
                </c:pt>
                <c:pt idx="1">
                  <c:v>2012</c:v>
                </c:pt>
                <c:pt idx="2">
                  <c:v>2013</c:v>
                </c:pt>
                <c:pt idx="3">
                  <c:v>2014</c:v>
                </c:pt>
                <c:pt idx="4">
                  <c:v>2015</c:v>
                </c:pt>
                <c:pt idx="5">
                  <c:v>2016</c:v>
                </c:pt>
                <c:pt idx="6">
                  <c:v>2017 (оценка)</c:v>
                </c:pt>
              </c:strCache>
            </c:strRef>
          </c:cat>
          <c:val>
            <c:numRef>
              <c:f>Инвестиции!$D$11:$J$11</c:f>
              <c:numCache>
                <c:formatCode>General</c:formatCode>
                <c:ptCount val="7"/>
                <c:pt idx="0">
                  <c:v>110.8</c:v>
                </c:pt>
                <c:pt idx="1">
                  <c:v>104.8</c:v>
                </c:pt>
                <c:pt idx="2">
                  <c:v>87.1</c:v>
                </c:pt>
                <c:pt idx="3">
                  <c:v>97.6</c:v>
                </c:pt>
                <c:pt idx="4">
                  <c:v>114</c:v>
                </c:pt>
                <c:pt idx="5">
                  <c:v>119.1</c:v>
                </c:pt>
                <c:pt idx="6">
                  <c:v>100.1</c:v>
                </c:pt>
              </c:numCache>
            </c:numRef>
          </c:val>
          <c:smooth val="0"/>
        </c:ser>
        <c:dLbls>
          <c:showLegendKey val="0"/>
          <c:showVal val="0"/>
          <c:showCatName val="0"/>
          <c:showSerName val="0"/>
          <c:showPercent val="0"/>
          <c:showBubbleSize val="0"/>
        </c:dLbls>
        <c:marker val="1"/>
        <c:smooth val="0"/>
        <c:axId val="404436064"/>
        <c:axId val="404435504"/>
      </c:lineChart>
      <c:catAx>
        <c:axId val="404434384"/>
        <c:scaling>
          <c:orientation val="minMax"/>
        </c:scaling>
        <c:delete val="0"/>
        <c:axPos val="b"/>
        <c:numFmt formatCode="General" sourceLinked="1"/>
        <c:majorTickMark val="none"/>
        <c:minorTickMark val="none"/>
        <c:tickLblPos val="nextTo"/>
        <c:spPr>
          <a:ln w="22225">
            <a:solidFill>
              <a:schemeClr val="tx1"/>
            </a:solidFill>
          </a:ln>
        </c:spPr>
        <c:crossAx val="404434944"/>
        <c:crosses val="autoZero"/>
        <c:auto val="1"/>
        <c:lblAlgn val="ctr"/>
        <c:lblOffset val="100"/>
        <c:noMultiLvlLbl val="0"/>
      </c:catAx>
      <c:valAx>
        <c:axId val="404434944"/>
        <c:scaling>
          <c:orientation val="minMax"/>
        </c:scaling>
        <c:delete val="0"/>
        <c:axPos val="l"/>
        <c:majorGridlines>
          <c:spPr>
            <a:ln>
              <a:solidFill>
                <a:schemeClr val="bg1">
                  <a:lumMod val="85000"/>
                </a:schemeClr>
              </a:solidFill>
              <a:prstDash val="sysDash"/>
            </a:ln>
          </c:spPr>
        </c:majorGridlines>
        <c:numFmt formatCode="0" sourceLinked="0"/>
        <c:majorTickMark val="none"/>
        <c:minorTickMark val="none"/>
        <c:tickLblPos val="nextTo"/>
        <c:spPr>
          <a:ln w="9525">
            <a:noFill/>
          </a:ln>
        </c:spPr>
        <c:crossAx val="404434384"/>
        <c:crosses val="autoZero"/>
        <c:crossBetween val="between"/>
      </c:valAx>
      <c:valAx>
        <c:axId val="404435504"/>
        <c:scaling>
          <c:orientation val="minMax"/>
        </c:scaling>
        <c:delete val="0"/>
        <c:axPos val="r"/>
        <c:numFmt formatCode="General" sourceLinked="1"/>
        <c:majorTickMark val="out"/>
        <c:minorTickMark val="none"/>
        <c:tickLblPos val="nextTo"/>
        <c:spPr>
          <a:ln>
            <a:noFill/>
          </a:ln>
        </c:spPr>
        <c:crossAx val="404436064"/>
        <c:crosses val="max"/>
        <c:crossBetween val="between"/>
      </c:valAx>
      <c:catAx>
        <c:axId val="404436064"/>
        <c:scaling>
          <c:orientation val="minMax"/>
        </c:scaling>
        <c:delete val="1"/>
        <c:axPos val="b"/>
        <c:numFmt formatCode="General" sourceLinked="0"/>
        <c:majorTickMark val="out"/>
        <c:minorTickMark val="none"/>
        <c:tickLblPos val="nextTo"/>
        <c:crossAx val="404435504"/>
        <c:crosses val="autoZero"/>
        <c:auto val="1"/>
        <c:lblAlgn val="ctr"/>
        <c:lblOffset val="100"/>
        <c:noMultiLvlLbl val="0"/>
      </c:catAx>
    </c:plotArea>
    <c:legend>
      <c:legendPos val="r"/>
      <c:layout>
        <c:manualLayout>
          <c:xMode val="edge"/>
          <c:yMode val="edge"/>
          <c:x val="0.71176065323317494"/>
          <c:y val="0.10117750841310801"/>
          <c:w val="0.28479417868167001"/>
          <c:h val="0.750581521346529"/>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СМСП!$A$9</c:f>
              <c:strCache>
                <c:ptCount val="1"/>
                <c:pt idx="0">
                  <c:v>Оборот малых, включая микропредприятия, и средних предприятий, млн. рублей_x000d_</c:v>
                </c:pt>
              </c:strCache>
            </c:strRef>
          </c:tx>
          <c:spPr>
            <a:solidFill>
              <a:schemeClr val="tx2">
                <a:lumMod val="75000"/>
              </a:schemeClr>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СМСП!$D$1:$J$1</c:f>
              <c:strCache>
                <c:ptCount val="7"/>
                <c:pt idx="0">
                  <c:v>2011</c:v>
                </c:pt>
                <c:pt idx="1">
                  <c:v>2012</c:v>
                </c:pt>
                <c:pt idx="2">
                  <c:v>2013</c:v>
                </c:pt>
                <c:pt idx="3">
                  <c:v>2014</c:v>
                </c:pt>
                <c:pt idx="4">
                  <c:v>2015</c:v>
                </c:pt>
                <c:pt idx="5">
                  <c:v>2016</c:v>
                </c:pt>
                <c:pt idx="6">
                  <c:v>2017 (оценка)</c:v>
                </c:pt>
              </c:strCache>
            </c:strRef>
          </c:cat>
          <c:val>
            <c:numRef>
              <c:f>СМСП!$D$10:$I$10</c:f>
              <c:numCache>
                <c:formatCode>0.0</c:formatCode>
                <c:ptCount val="6"/>
                <c:pt idx="0">
                  <c:v>6.2515000000000001</c:v>
                </c:pt>
                <c:pt idx="1">
                  <c:v>4.7590000000000003</c:v>
                </c:pt>
                <c:pt idx="2">
                  <c:v>8.3970000000000002</c:v>
                </c:pt>
                <c:pt idx="3">
                  <c:v>7.8869999999999996</c:v>
                </c:pt>
                <c:pt idx="4">
                  <c:v>8.9</c:v>
                </c:pt>
                <c:pt idx="5">
                  <c:v>9.1999999999999993</c:v>
                </c:pt>
              </c:numCache>
            </c:numRef>
          </c:val>
        </c:ser>
        <c:dLbls>
          <c:showLegendKey val="0"/>
          <c:showVal val="0"/>
          <c:showCatName val="0"/>
          <c:showSerName val="0"/>
          <c:showPercent val="0"/>
          <c:showBubbleSize val="0"/>
        </c:dLbls>
        <c:gapWidth val="53"/>
        <c:overlap val="-25"/>
        <c:axId val="404438864"/>
        <c:axId val="404439424"/>
      </c:barChart>
      <c:lineChart>
        <c:grouping val="standard"/>
        <c:varyColors val="0"/>
        <c:ser>
          <c:idx val="1"/>
          <c:order val="1"/>
          <c:tx>
            <c:strRef>
              <c:f>СМСП!$A$10</c:f>
              <c:strCache>
                <c:ptCount val="1"/>
                <c:pt idx="0">
                  <c:v>Динамика, % к предыдущему году</c:v>
                </c:pt>
              </c:strCache>
            </c:strRef>
          </c:tx>
          <c:spPr>
            <a:ln>
              <a:solidFill>
                <a:srgbClr val="67011C"/>
              </a:solidFill>
            </a:ln>
          </c:spPr>
          <c:marker>
            <c:spPr>
              <a:solidFill>
                <a:srgbClr val="67011C"/>
              </a:solidFill>
              <a:ln>
                <a:noFill/>
              </a:ln>
            </c:spPr>
          </c:marker>
          <c:val>
            <c:numRef>
              <c:f>СМСП!$D$11:$I$11</c:f>
              <c:numCache>
                <c:formatCode>General</c:formatCode>
                <c:ptCount val="6"/>
                <c:pt idx="1">
                  <c:v>-23.87427017515796</c:v>
                </c:pt>
                <c:pt idx="2">
                  <c:v>76.444631225047303</c:v>
                </c:pt>
                <c:pt idx="3">
                  <c:v>-6.0735977134690984</c:v>
                </c:pt>
                <c:pt idx="4">
                  <c:v>12.84392037530114</c:v>
                </c:pt>
                <c:pt idx="5">
                  <c:v>3.3707865168539111</c:v>
                </c:pt>
              </c:numCache>
            </c:numRef>
          </c:val>
          <c:smooth val="0"/>
        </c:ser>
        <c:dLbls>
          <c:showLegendKey val="0"/>
          <c:showVal val="0"/>
          <c:showCatName val="0"/>
          <c:showSerName val="0"/>
          <c:showPercent val="0"/>
          <c:showBubbleSize val="0"/>
        </c:dLbls>
        <c:marker val="1"/>
        <c:smooth val="0"/>
        <c:axId val="404440544"/>
        <c:axId val="404439984"/>
      </c:lineChart>
      <c:catAx>
        <c:axId val="404438864"/>
        <c:scaling>
          <c:orientation val="minMax"/>
        </c:scaling>
        <c:delete val="0"/>
        <c:axPos val="b"/>
        <c:numFmt formatCode="General" sourceLinked="0"/>
        <c:majorTickMark val="none"/>
        <c:minorTickMark val="none"/>
        <c:tickLblPos val="nextTo"/>
        <c:spPr>
          <a:ln w="22225">
            <a:solidFill>
              <a:schemeClr val="tx1"/>
            </a:solidFill>
          </a:ln>
        </c:spPr>
        <c:crossAx val="404439424"/>
        <c:crosses val="autoZero"/>
        <c:auto val="1"/>
        <c:lblAlgn val="ctr"/>
        <c:lblOffset val="100"/>
        <c:noMultiLvlLbl val="0"/>
      </c:catAx>
      <c:valAx>
        <c:axId val="404439424"/>
        <c:scaling>
          <c:orientation val="minMax"/>
        </c:scaling>
        <c:delete val="0"/>
        <c:axPos val="l"/>
        <c:majorGridlines>
          <c:spPr>
            <a:ln>
              <a:solidFill>
                <a:schemeClr val="bg1">
                  <a:lumMod val="85000"/>
                </a:schemeClr>
              </a:solidFill>
              <a:prstDash val="sysDash"/>
            </a:ln>
          </c:spPr>
        </c:majorGridlines>
        <c:numFmt formatCode="0.0" sourceLinked="1"/>
        <c:majorTickMark val="none"/>
        <c:minorTickMark val="none"/>
        <c:tickLblPos val="nextTo"/>
        <c:spPr>
          <a:ln w="9525">
            <a:noFill/>
          </a:ln>
        </c:spPr>
        <c:crossAx val="404438864"/>
        <c:crosses val="autoZero"/>
        <c:crossBetween val="between"/>
      </c:valAx>
      <c:valAx>
        <c:axId val="404439984"/>
        <c:scaling>
          <c:orientation val="minMax"/>
        </c:scaling>
        <c:delete val="0"/>
        <c:axPos val="r"/>
        <c:numFmt formatCode="General" sourceLinked="1"/>
        <c:majorTickMark val="out"/>
        <c:minorTickMark val="none"/>
        <c:tickLblPos val="nextTo"/>
        <c:spPr>
          <a:ln>
            <a:noFill/>
          </a:ln>
        </c:spPr>
        <c:crossAx val="404440544"/>
        <c:crosses val="max"/>
        <c:crossBetween val="between"/>
      </c:valAx>
      <c:catAx>
        <c:axId val="404440544"/>
        <c:scaling>
          <c:orientation val="minMax"/>
        </c:scaling>
        <c:delete val="1"/>
        <c:axPos val="b"/>
        <c:majorTickMark val="out"/>
        <c:minorTickMark val="none"/>
        <c:tickLblPos val="nextTo"/>
        <c:crossAx val="404439984"/>
        <c:crosses val="autoZero"/>
        <c:auto val="1"/>
        <c:lblAlgn val="ctr"/>
        <c:lblOffset val="100"/>
        <c:noMultiLvlLbl val="0"/>
      </c:catAx>
    </c:plotArea>
    <c:legend>
      <c:legendPos val="r"/>
      <c:overlay val="0"/>
    </c:legend>
    <c:plotVisOnly val="1"/>
    <c:dispBlanksAs val="gap"/>
    <c:showDLblsOverMax val="0"/>
  </c:chart>
  <c:spPr>
    <a:ln>
      <a:noFill/>
    </a:ln>
  </c:spPr>
  <c:txPr>
    <a:bodyPr/>
    <a:lstStyle/>
    <a:p>
      <a:pPr>
        <a:defRPr>
          <a:latin typeface="Times New Roman" charset="0"/>
          <a:ea typeface="Times New Roman" charset="0"/>
          <a:cs typeface="Times New Roman"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29850577474905E-2"/>
          <c:y val="3.6984352773826501E-2"/>
          <c:w val="0.60082316546162196"/>
          <c:h val="0.80958263728570201"/>
        </c:manualLayout>
      </c:layout>
      <c:barChart>
        <c:barDir val="col"/>
        <c:grouping val="clustered"/>
        <c:varyColors val="0"/>
        <c:ser>
          <c:idx val="0"/>
          <c:order val="0"/>
          <c:tx>
            <c:strRef>
              <c:f>'Розничная торговля и ПОП'!$B$37</c:f>
              <c:strCache>
                <c:ptCount val="1"/>
                <c:pt idx="0">
                  <c:v>млн рублей, в ценах соответствующих лет_x000d_</c:v>
                </c:pt>
              </c:strCache>
            </c:strRef>
          </c:tx>
          <c:spPr>
            <a:solidFill>
              <a:schemeClr val="tx2">
                <a:lumMod val="75000"/>
              </a:schemeClr>
            </a:solidFill>
          </c:spPr>
          <c:invertIfNegative val="0"/>
          <c:dLbls>
            <c:spPr>
              <a:noFill/>
              <a:ln>
                <a:noFill/>
              </a:ln>
              <a:effectLst/>
            </c:spPr>
            <c:txPr>
              <a:bodyPr wrap="square" lIns="38100" tIns="19050" rIns="38100" bIns="19050" anchor="ctr">
                <a:spAutoFit/>
              </a:bodyPr>
              <a:lstStyle/>
              <a:p>
                <a:pPr>
                  <a:defRPr sz="1000"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'Розничная торговля и ПОП'!$H$1:$J$1</c:f>
              <c:strCache>
                <c:ptCount val="3"/>
                <c:pt idx="0">
                  <c:v>2015</c:v>
                </c:pt>
                <c:pt idx="1">
                  <c:v>2016</c:v>
                </c:pt>
                <c:pt idx="2">
                  <c:v>2017 (оценка)</c:v>
                </c:pt>
              </c:strCache>
            </c:strRef>
          </c:cat>
          <c:val>
            <c:numRef>
              <c:f>'Розничная торговля и ПОП'!$H$37:$J$37</c:f>
              <c:numCache>
                <c:formatCode>General</c:formatCode>
                <c:ptCount val="3"/>
                <c:pt idx="0">
                  <c:v>1048.8</c:v>
                </c:pt>
                <c:pt idx="1">
                  <c:v>1394.6</c:v>
                </c:pt>
                <c:pt idx="2">
                  <c:v>1450.4</c:v>
                </c:pt>
              </c:numCache>
            </c:numRef>
          </c:val>
        </c:ser>
        <c:dLbls>
          <c:showLegendKey val="0"/>
          <c:showVal val="0"/>
          <c:showCatName val="0"/>
          <c:showSerName val="0"/>
          <c:showPercent val="0"/>
          <c:showBubbleSize val="0"/>
        </c:dLbls>
        <c:gapWidth val="72"/>
        <c:overlap val="-25"/>
        <c:axId val="404705904"/>
        <c:axId val="404706464"/>
      </c:barChart>
      <c:lineChart>
        <c:grouping val="standard"/>
        <c:varyColors val="0"/>
        <c:ser>
          <c:idx val="1"/>
          <c:order val="1"/>
          <c:tx>
            <c:strRef>
              <c:f>'Розничная торговля и ПОП'!$B$38</c:f>
              <c:strCache>
                <c:ptCount val="1"/>
                <c:pt idx="0">
                  <c:v>% к предыдущему году в сопоставимых ценах (правая шкала)</c:v>
                </c:pt>
              </c:strCache>
            </c:strRef>
          </c:tx>
          <c:spPr>
            <a:ln>
              <a:solidFill>
                <a:srgbClr val="67011C"/>
              </a:solidFill>
            </a:ln>
          </c:spPr>
          <c:marker>
            <c:spPr>
              <a:solidFill>
                <a:srgbClr val="67011C"/>
              </a:solidFill>
              <a:ln>
                <a:noFill/>
              </a:ln>
            </c:spPr>
          </c:marker>
          <c:dLbls>
            <c:dLbl>
              <c:idx val="0"/>
              <c:layout>
                <c:manualLayout>
                  <c:x val="-3.7313432835820899E-2"/>
                  <c:y val="-4.8364153627311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298507462686602E-2"/>
                  <c:y val="-4.83641536273115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820895522388103E-2"/>
                  <c:y val="-5.4054054054054099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'Розничная торговля и ПОП'!$H$38:$J$38</c:f>
              <c:numCache>
                <c:formatCode>General</c:formatCode>
                <c:ptCount val="3"/>
                <c:pt idx="0">
                  <c:v>122.2</c:v>
                </c:pt>
                <c:pt idx="1">
                  <c:v>123.5</c:v>
                </c:pt>
                <c:pt idx="2">
                  <c:v>99.9</c:v>
                </c:pt>
              </c:numCache>
            </c:numRef>
          </c:val>
          <c:smooth val="0"/>
        </c:ser>
        <c:dLbls>
          <c:showLegendKey val="0"/>
          <c:showVal val="0"/>
          <c:showCatName val="0"/>
          <c:showSerName val="0"/>
          <c:showPercent val="0"/>
          <c:showBubbleSize val="0"/>
        </c:dLbls>
        <c:marker val="1"/>
        <c:smooth val="0"/>
        <c:axId val="404707584"/>
        <c:axId val="404707024"/>
      </c:lineChart>
      <c:catAx>
        <c:axId val="404705904"/>
        <c:scaling>
          <c:orientation val="minMax"/>
        </c:scaling>
        <c:delete val="0"/>
        <c:axPos val="b"/>
        <c:numFmt formatCode="General" sourceLinked="0"/>
        <c:majorTickMark val="none"/>
        <c:minorTickMark val="none"/>
        <c:tickLblPos val="nextTo"/>
        <c:spPr>
          <a:ln w="22225">
            <a:solidFill>
              <a:schemeClr val="tx1"/>
            </a:solidFill>
          </a:ln>
        </c:spPr>
        <c:txPr>
          <a:bodyPr/>
          <a:lstStyle/>
          <a:p>
            <a:pPr>
              <a:defRPr sz="900"/>
            </a:pPr>
            <a:endParaRPr lang="ru-RU"/>
          </a:p>
        </c:txPr>
        <c:crossAx val="404706464"/>
        <c:crosses val="autoZero"/>
        <c:auto val="1"/>
        <c:lblAlgn val="ctr"/>
        <c:lblOffset val="100"/>
        <c:noMultiLvlLbl val="0"/>
      </c:catAx>
      <c:valAx>
        <c:axId val="404706464"/>
        <c:scaling>
          <c:orientation val="minMax"/>
        </c:scaling>
        <c:delete val="0"/>
        <c:axPos val="l"/>
        <c:majorGridlines>
          <c:spPr>
            <a:ln>
              <a:solidFill>
                <a:schemeClr val="bg1">
                  <a:lumMod val="85000"/>
                </a:schemeClr>
              </a:solidFill>
              <a:prstDash val="sysDash"/>
            </a:ln>
          </c:spPr>
        </c:majorGridlines>
        <c:numFmt formatCode="General" sourceLinked="1"/>
        <c:majorTickMark val="none"/>
        <c:minorTickMark val="none"/>
        <c:tickLblPos val="nextTo"/>
        <c:spPr>
          <a:ln w="9525">
            <a:noFill/>
          </a:ln>
        </c:spPr>
        <c:crossAx val="404705904"/>
        <c:crosses val="autoZero"/>
        <c:crossBetween val="between"/>
      </c:valAx>
      <c:valAx>
        <c:axId val="404707024"/>
        <c:scaling>
          <c:orientation val="minMax"/>
        </c:scaling>
        <c:delete val="0"/>
        <c:axPos val="r"/>
        <c:numFmt formatCode="General" sourceLinked="1"/>
        <c:majorTickMark val="out"/>
        <c:minorTickMark val="none"/>
        <c:tickLblPos val="nextTo"/>
        <c:spPr>
          <a:ln>
            <a:noFill/>
          </a:ln>
        </c:spPr>
        <c:crossAx val="404707584"/>
        <c:crosses val="max"/>
        <c:crossBetween val="between"/>
      </c:valAx>
      <c:catAx>
        <c:axId val="404707584"/>
        <c:scaling>
          <c:orientation val="minMax"/>
        </c:scaling>
        <c:delete val="1"/>
        <c:axPos val="b"/>
        <c:majorTickMark val="out"/>
        <c:minorTickMark val="none"/>
        <c:tickLblPos val="nextTo"/>
        <c:crossAx val="404707024"/>
        <c:crosses val="autoZero"/>
        <c:auto val="1"/>
        <c:lblAlgn val="ctr"/>
        <c:lblOffset val="100"/>
        <c:noMultiLvlLbl val="0"/>
      </c:catAx>
    </c:plotArea>
    <c:legend>
      <c:legendPos val="r"/>
      <c:layout>
        <c:manualLayout>
          <c:xMode val="edge"/>
          <c:yMode val="edge"/>
          <c:x val="0.73904323655228199"/>
          <c:y val="0.138145773421541"/>
          <c:w val="0.24581691671584199"/>
          <c:h val="0.60228864892169798"/>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0355827414218E-2"/>
          <c:y val="6.4907780208676005E-2"/>
          <c:w val="0.51672918047873795"/>
          <c:h val="0.72882822980460804"/>
        </c:manualLayout>
      </c:layout>
      <c:barChart>
        <c:barDir val="col"/>
        <c:grouping val="clustered"/>
        <c:varyColors val="0"/>
        <c:ser>
          <c:idx val="0"/>
          <c:order val="0"/>
          <c:tx>
            <c:strRef>
              <c:f>тарифы!$A$13</c:f>
              <c:strCache>
                <c:ptCount val="1"/>
                <c:pt idx="0">
                  <c:v>Одноставочный тариф на тепловую энергию, руб./Гкал </c:v>
                </c:pt>
              </c:strCache>
            </c:strRef>
          </c:tx>
          <c:spPr>
            <a:solidFill>
              <a:schemeClr val="tx2">
                <a:lumMod val="75000"/>
              </a:schemeClr>
            </a:solidFill>
            <a:ln>
              <a:noFill/>
            </a:ln>
            <a:effectLst/>
          </c:spPr>
          <c:invertIfNegative val="0"/>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10"/>
              <c:delete val="1"/>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тарифы!$B$12:$L$12</c:f>
              <c:strCache>
                <c:ptCount val="11"/>
                <c:pt idx="0">
                  <c:v>2012, I</c:v>
                </c:pt>
                <c:pt idx="1">
                  <c:v>2012, II</c:v>
                </c:pt>
                <c:pt idx="2">
                  <c:v>2013, I</c:v>
                </c:pt>
                <c:pt idx="3">
                  <c:v>2013, II</c:v>
                </c:pt>
                <c:pt idx="4">
                  <c:v>2014, I</c:v>
                </c:pt>
                <c:pt idx="5">
                  <c:v>2014, II</c:v>
                </c:pt>
                <c:pt idx="6">
                  <c:v>2015, I</c:v>
                </c:pt>
                <c:pt idx="7">
                  <c:v>2015, II</c:v>
                </c:pt>
                <c:pt idx="8">
                  <c:v>2016, I</c:v>
                </c:pt>
                <c:pt idx="9">
                  <c:v>2016, II</c:v>
                </c:pt>
                <c:pt idx="10">
                  <c:v>2017, I</c:v>
                </c:pt>
              </c:strCache>
            </c:strRef>
          </c:cat>
          <c:val>
            <c:numRef>
              <c:f>тарифы!$B$13:$L$13</c:f>
              <c:numCache>
                <c:formatCode>General</c:formatCode>
                <c:ptCount val="11"/>
                <c:pt idx="0">
                  <c:v>1753.48</c:v>
                </c:pt>
                <c:pt idx="1">
                  <c:v>1847.21</c:v>
                </c:pt>
                <c:pt idx="2">
                  <c:v>1950.65</c:v>
                </c:pt>
                <c:pt idx="3">
                  <c:v>2163.52</c:v>
                </c:pt>
                <c:pt idx="4">
                  <c:v>2163.52</c:v>
                </c:pt>
                <c:pt idx="5">
                  <c:v>2258.59</c:v>
                </c:pt>
                <c:pt idx="6">
                  <c:v>2258.59</c:v>
                </c:pt>
                <c:pt idx="7">
                  <c:v>2445.5</c:v>
                </c:pt>
                <c:pt idx="8">
                  <c:v>2445.5</c:v>
                </c:pt>
                <c:pt idx="9">
                  <c:v>2548.0700000000002</c:v>
                </c:pt>
                <c:pt idx="10">
                  <c:v>2548.0700000000002</c:v>
                </c:pt>
              </c:numCache>
            </c:numRef>
          </c:val>
        </c:ser>
        <c:dLbls>
          <c:showLegendKey val="0"/>
          <c:showVal val="0"/>
          <c:showCatName val="0"/>
          <c:showSerName val="0"/>
          <c:showPercent val="0"/>
          <c:showBubbleSize val="0"/>
        </c:dLbls>
        <c:gapWidth val="27"/>
        <c:overlap val="-27"/>
        <c:axId val="404712064"/>
        <c:axId val="404711504"/>
      </c:barChart>
      <c:lineChart>
        <c:grouping val="standard"/>
        <c:varyColors val="0"/>
        <c:ser>
          <c:idx val="1"/>
          <c:order val="1"/>
          <c:tx>
            <c:strRef>
              <c:f>тарифы!$A$14</c:f>
              <c:strCache>
                <c:ptCount val="1"/>
                <c:pt idx="0">
                  <c:v>Темп прироста, %</c:v>
                </c:pt>
              </c:strCache>
            </c:strRef>
          </c:tx>
          <c:spPr>
            <a:ln w="28575" cap="rnd">
              <a:noFill/>
              <a:round/>
            </a:ln>
            <a:effectLst/>
          </c:spPr>
          <c:marker>
            <c:symbol val="triangle"/>
            <c:size val="11"/>
            <c:spPr>
              <a:solidFill>
                <a:srgbClr val="8B1007"/>
              </a:solidFill>
              <a:ln w="9525">
                <a:noFill/>
              </a:ln>
              <a:effectLst/>
            </c:spPr>
          </c:marker>
          <c:dLbls>
            <c:dLbl>
              <c:idx val="1"/>
              <c:delete val="1"/>
              <c:extLst>
                <c:ext xmlns:c15="http://schemas.microsoft.com/office/drawing/2012/chart" uri="{CE6537A1-D6FC-4f65-9D91-7224C49458BB}"/>
              </c:extLst>
            </c:dLbl>
            <c:spPr>
              <a:solidFill>
                <a:schemeClr val="bg1"/>
              </a:solidFill>
              <a:ln>
                <a:solidFill>
                  <a:srgbClr val="8B1007"/>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charset="0"/>
                    <a:ea typeface="Times New Roman" charset="0"/>
                    <a:cs typeface="Times New Roman" charset="0"/>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тарифы!$B$12:$L$12</c:f>
              <c:strCache>
                <c:ptCount val="11"/>
                <c:pt idx="0">
                  <c:v>2012, I</c:v>
                </c:pt>
                <c:pt idx="1">
                  <c:v>2012, II</c:v>
                </c:pt>
                <c:pt idx="2">
                  <c:v>2013, I</c:v>
                </c:pt>
                <c:pt idx="3">
                  <c:v>2013, II</c:v>
                </c:pt>
                <c:pt idx="4">
                  <c:v>2014, I</c:v>
                </c:pt>
                <c:pt idx="5">
                  <c:v>2014, II</c:v>
                </c:pt>
                <c:pt idx="6">
                  <c:v>2015, I</c:v>
                </c:pt>
                <c:pt idx="7">
                  <c:v>2015, II</c:v>
                </c:pt>
                <c:pt idx="8">
                  <c:v>2016, I</c:v>
                </c:pt>
                <c:pt idx="9">
                  <c:v>2016, II</c:v>
                </c:pt>
                <c:pt idx="10">
                  <c:v>2017, I</c:v>
                </c:pt>
              </c:strCache>
            </c:strRef>
          </c:cat>
          <c:val>
            <c:numRef>
              <c:f>тарифы!$B$14:$L$14</c:f>
              <c:numCache>
                <c:formatCode>0.00%</c:formatCode>
                <c:ptCount val="11"/>
                <c:pt idx="1">
                  <c:v>5.3453703492483601E-2</c:v>
                </c:pt>
                <c:pt idx="2">
                  <c:v>5.5997964497810103E-2</c:v>
                </c:pt>
                <c:pt idx="3">
                  <c:v>0.109127726655218</c:v>
                </c:pt>
                <c:pt idx="5">
                  <c:v>4.3942279248631901E-2</c:v>
                </c:pt>
                <c:pt idx="7">
                  <c:v>8.2755170261091998E-2</c:v>
                </c:pt>
                <c:pt idx="9">
                  <c:v>4.1942343079124998E-2</c:v>
                </c:pt>
              </c:numCache>
            </c:numRef>
          </c:val>
          <c:smooth val="0"/>
        </c:ser>
        <c:dLbls>
          <c:showLegendKey val="0"/>
          <c:showVal val="0"/>
          <c:showCatName val="0"/>
          <c:showSerName val="0"/>
          <c:showPercent val="0"/>
          <c:showBubbleSize val="0"/>
        </c:dLbls>
        <c:marker val="1"/>
        <c:smooth val="0"/>
        <c:axId val="404710384"/>
        <c:axId val="404710944"/>
      </c:lineChart>
      <c:catAx>
        <c:axId val="404710384"/>
        <c:scaling>
          <c:orientation val="minMax"/>
        </c:scaling>
        <c:delete val="0"/>
        <c:axPos val="b"/>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404710944"/>
        <c:crosses val="autoZero"/>
        <c:auto val="1"/>
        <c:lblAlgn val="ctr"/>
        <c:lblOffset val="100"/>
        <c:noMultiLvlLbl val="0"/>
      </c:catAx>
      <c:valAx>
        <c:axId val="404710944"/>
        <c:scaling>
          <c:orientation val="minMax"/>
        </c:scaling>
        <c:delete val="0"/>
        <c:axPos val="l"/>
        <c:majorGridlines>
          <c:spPr>
            <a:ln w="9525" cap="flat" cmpd="sng" algn="ctr">
              <a:solidFill>
                <a:schemeClr val="bg1">
                  <a:lumMod val="85000"/>
                </a:schemeClr>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400" b="0" i="0" u="none" strike="noStrike" kern="1200" baseline="0">
                <a:solidFill>
                  <a:schemeClr val="bg1"/>
                </a:solidFill>
                <a:latin typeface="Times New Roman" charset="0"/>
                <a:ea typeface="Times New Roman" charset="0"/>
                <a:cs typeface="Times New Roman" charset="0"/>
              </a:defRPr>
            </a:pPr>
            <a:endParaRPr lang="ru-RU"/>
          </a:p>
        </c:txPr>
        <c:crossAx val="404710384"/>
        <c:crosses val="autoZero"/>
        <c:crossBetween val="between"/>
      </c:valAx>
      <c:valAx>
        <c:axId val="404711504"/>
        <c:scaling>
          <c:orientation val="minMax"/>
        </c:scaling>
        <c:delete val="0"/>
        <c:axPos val="r"/>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404712064"/>
        <c:crosses val="max"/>
        <c:crossBetween val="between"/>
      </c:valAx>
      <c:catAx>
        <c:axId val="404712064"/>
        <c:scaling>
          <c:orientation val="minMax"/>
        </c:scaling>
        <c:delete val="1"/>
        <c:axPos val="b"/>
        <c:numFmt formatCode="General" sourceLinked="1"/>
        <c:majorTickMark val="out"/>
        <c:minorTickMark val="none"/>
        <c:tickLblPos val="nextTo"/>
        <c:crossAx val="404711504"/>
        <c:crosses val="autoZero"/>
        <c:auto val="1"/>
        <c:lblAlgn val="ctr"/>
        <c:lblOffset val="100"/>
        <c:noMultiLvlLbl val="0"/>
      </c:catAx>
      <c:spPr>
        <a:noFill/>
        <a:ln>
          <a:noFill/>
        </a:ln>
        <a:effectLst/>
      </c:spPr>
    </c:plotArea>
    <c:legend>
      <c:legendPos val="r"/>
      <c:layout>
        <c:manualLayout>
          <c:xMode val="edge"/>
          <c:yMode val="edge"/>
          <c:x val="0.65674375764497195"/>
          <c:y val="0.25225176060913201"/>
          <c:w val="0.315221179820804"/>
          <c:h val="0.334277955354590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тарифы!$A$18</c:f>
              <c:strCache>
                <c:ptCount val="1"/>
                <c:pt idx="0">
                  <c:v>Тариф на услуги в сфере горячего водоснабжения  учетом надбавки и НДС, руб./куб.м.</c:v>
                </c:pt>
              </c:strCache>
            </c:strRef>
          </c:tx>
          <c:spPr>
            <a:solidFill>
              <a:schemeClr val="tx2">
                <a:lumMod val="75000"/>
              </a:schemeClr>
            </a:solidFill>
            <a:ln>
              <a:noFill/>
            </a:ln>
            <a:effectLst/>
          </c:spPr>
          <c:invertIfNegative val="0"/>
          <c:dLbls>
            <c:dLbl>
              <c:idx val="0"/>
              <c:delete val="1"/>
              <c:extLst>
                <c:ext xmlns:c15="http://schemas.microsoft.com/office/drawing/2012/chart" uri="{CE6537A1-D6FC-4f65-9D91-7224C49458BB}"/>
              </c:extLst>
            </c:dLbl>
            <c:dLbl>
              <c:idx val="1"/>
              <c:layout>
                <c:manualLayout>
                  <c:x val="0"/>
                  <c:y val="2.2637238256932601E-2"/>
                </c:manualLayout>
              </c:layou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
                  <c:y val="1.6977928692699502E-2"/>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4.2929683989108502E-17"/>
                  <c:y val="2.2637238256932601E-2"/>
                </c:manualLayout>
              </c:layout>
              <c:showLegendKey val="0"/>
              <c:showVal val="1"/>
              <c:showCatName val="0"/>
              <c:showSerName val="0"/>
              <c:showPercent val="0"/>
              <c:showBubbleSize val="0"/>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layout>
                <c:manualLayout>
                  <c:x val="-4.2929683989108502E-17"/>
                  <c:y val="2.2637238256932601E-2"/>
                </c:manualLayout>
              </c:layout>
              <c:showLegendKey val="0"/>
              <c:showVal val="1"/>
              <c:showCatName val="0"/>
              <c:showSerName val="0"/>
              <c:showPercent val="0"/>
              <c:showBubbleSize val="0"/>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layout>
                <c:manualLayout>
                  <c:x val="0"/>
                  <c:y val="2.82965478211658E-2"/>
                </c:manualLayout>
              </c:layout>
              <c:showLegendKey val="0"/>
              <c:showVal val="1"/>
              <c:showCatName val="0"/>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тарифы!$B$17:$L$17</c:f>
              <c:strCache>
                <c:ptCount val="11"/>
                <c:pt idx="0">
                  <c:v>2012, I</c:v>
                </c:pt>
                <c:pt idx="1">
                  <c:v>2012, II</c:v>
                </c:pt>
                <c:pt idx="2">
                  <c:v>2013, I</c:v>
                </c:pt>
                <c:pt idx="3">
                  <c:v>2013, II</c:v>
                </c:pt>
                <c:pt idx="4">
                  <c:v>2014, I</c:v>
                </c:pt>
                <c:pt idx="5">
                  <c:v>2014, II</c:v>
                </c:pt>
                <c:pt idx="6">
                  <c:v>2015, I</c:v>
                </c:pt>
                <c:pt idx="7">
                  <c:v>2015, II</c:v>
                </c:pt>
                <c:pt idx="8">
                  <c:v>2016, I</c:v>
                </c:pt>
                <c:pt idx="9">
                  <c:v>2016, II</c:v>
                </c:pt>
                <c:pt idx="10">
                  <c:v>2017, I</c:v>
                </c:pt>
              </c:strCache>
            </c:strRef>
          </c:cat>
          <c:val>
            <c:numRef>
              <c:f>тарифы!$B$18:$L$18</c:f>
              <c:numCache>
                <c:formatCode>General</c:formatCode>
                <c:ptCount val="11"/>
                <c:pt idx="0">
                  <c:v>154.04</c:v>
                </c:pt>
                <c:pt idx="1">
                  <c:v>161.74</c:v>
                </c:pt>
                <c:pt idx="2">
                  <c:v>185.39</c:v>
                </c:pt>
                <c:pt idx="3">
                  <c:v>190.16</c:v>
                </c:pt>
                <c:pt idx="4">
                  <c:v>185.09</c:v>
                </c:pt>
                <c:pt idx="5">
                  <c:v>193.17</c:v>
                </c:pt>
                <c:pt idx="6">
                  <c:v>193.17</c:v>
                </c:pt>
                <c:pt idx="7">
                  <c:v>210.76</c:v>
                </c:pt>
                <c:pt idx="8">
                  <c:v>210.76</c:v>
                </c:pt>
                <c:pt idx="9">
                  <c:v>219.6</c:v>
                </c:pt>
                <c:pt idx="10">
                  <c:v>219.6</c:v>
                </c:pt>
              </c:numCache>
            </c:numRef>
          </c:val>
        </c:ser>
        <c:dLbls>
          <c:showLegendKey val="0"/>
          <c:showVal val="0"/>
          <c:showCatName val="0"/>
          <c:showSerName val="0"/>
          <c:showPercent val="0"/>
          <c:showBubbleSize val="0"/>
        </c:dLbls>
        <c:gapWidth val="17"/>
        <c:overlap val="-27"/>
        <c:axId val="404651344"/>
        <c:axId val="404650784"/>
      </c:barChart>
      <c:lineChart>
        <c:grouping val="standard"/>
        <c:varyColors val="0"/>
        <c:ser>
          <c:idx val="1"/>
          <c:order val="1"/>
          <c:tx>
            <c:strRef>
              <c:f>тарифы!$A$19</c:f>
              <c:strCache>
                <c:ptCount val="1"/>
                <c:pt idx="0">
                  <c:v>Темп прироста, %</c:v>
                </c:pt>
              </c:strCache>
            </c:strRef>
          </c:tx>
          <c:spPr>
            <a:ln w="28575" cap="rnd">
              <a:noFill/>
              <a:round/>
            </a:ln>
            <a:effectLst/>
          </c:spPr>
          <c:marker>
            <c:symbol val="triangle"/>
            <c:size val="13"/>
            <c:spPr>
              <a:solidFill>
                <a:srgbClr val="8B1007"/>
              </a:solidFill>
              <a:ln w="9525">
                <a:noFill/>
              </a:ln>
              <a:effectLst/>
            </c:spPr>
          </c:marker>
          <c:dLbls>
            <c:dLbl>
              <c:idx val="1"/>
              <c:layout>
                <c:manualLayout>
                  <c:x val="-7.02493853178782E-3"/>
                  <c:y val="2.8296547821165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708230886313099E-2"/>
                  <c:y val="-6.1475409836065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832923545252298E-3"/>
                  <c:y val="2.263723825693260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3665847090504597E-3"/>
                  <c:y val="2.829654782116590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0249385317878504E-3"/>
                  <c:y val="2.82965478211658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8B1007"/>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тарифы!$B$17:$L$17</c:f>
              <c:strCache>
                <c:ptCount val="11"/>
                <c:pt idx="0">
                  <c:v>2012, I</c:v>
                </c:pt>
                <c:pt idx="1">
                  <c:v>2012, II</c:v>
                </c:pt>
                <c:pt idx="2">
                  <c:v>2013, I</c:v>
                </c:pt>
                <c:pt idx="3">
                  <c:v>2013, II</c:v>
                </c:pt>
                <c:pt idx="4">
                  <c:v>2014, I</c:v>
                </c:pt>
                <c:pt idx="5">
                  <c:v>2014, II</c:v>
                </c:pt>
                <c:pt idx="6">
                  <c:v>2015, I</c:v>
                </c:pt>
                <c:pt idx="7">
                  <c:v>2015, II</c:v>
                </c:pt>
                <c:pt idx="8">
                  <c:v>2016, I</c:v>
                </c:pt>
                <c:pt idx="9">
                  <c:v>2016, II</c:v>
                </c:pt>
                <c:pt idx="10">
                  <c:v>2017, I</c:v>
                </c:pt>
              </c:strCache>
            </c:strRef>
          </c:cat>
          <c:val>
            <c:numRef>
              <c:f>тарифы!$B$19:$L$19</c:f>
              <c:numCache>
                <c:formatCode>0.00%</c:formatCode>
                <c:ptCount val="11"/>
                <c:pt idx="1">
                  <c:v>4.9987016359387203E-2</c:v>
                </c:pt>
                <c:pt idx="2">
                  <c:v>0.14622233213799901</c:v>
                </c:pt>
                <c:pt idx="3">
                  <c:v>2.5729543125303501E-2</c:v>
                </c:pt>
                <c:pt idx="4">
                  <c:v>-2.66617585191418E-2</c:v>
                </c:pt>
                <c:pt idx="5">
                  <c:v>4.3654438381328001E-2</c:v>
                </c:pt>
                <c:pt idx="7">
                  <c:v>9.1059688357405494E-2</c:v>
                </c:pt>
                <c:pt idx="9">
                  <c:v>4.1943442778515902E-2</c:v>
                </c:pt>
              </c:numCache>
            </c:numRef>
          </c:val>
          <c:smooth val="0"/>
        </c:ser>
        <c:dLbls>
          <c:showLegendKey val="0"/>
          <c:showVal val="0"/>
          <c:showCatName val="0"/>
          <c:showSerName val="0"/>
          <c:showPercent val="0"/>
          <c:showBubbleSize val="0"/>
        </c:dLbls>
        <c:marker val="1"/>
        <c:smooth val="0"/>
        <c:axId val="404649664"/>
        <c:axId val="404650224"/>
      </c:lineChart>
      <c:catAx>
        <c:axId val="404649664"/>
        <c:scaling>
          <c:orientation val="minMax"/>
        </c:scaling>
        <c:delete val="0"/>
        <c:axPos val="b"/>
        <c:numFmt formatCode="General" sourceLinked="1"/>
        <c:majorTickMark val="none"/>
        <c:minorTickMark val="none"/>
        <c:tickLblPos val="nextTo"/>
        <c:spPr>
          <a:noFill/>
          <a:ln w="285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404650224"/>
        <c:crosses val="autoZero"/>
        <c:auto val="1"/>
        <c:lblAlgn val="ctr"/>
        <c:lblOffset val="100"/>
        <c:noMultiLvlLbl val="0"/>
      </c:catAx>
      <c:valAx>
        <c:axId val="404650224"/>
        <c:scaling>
          <c:orientation val="minMax"/>
          <c:min val="0"/>
        </c:scaling>
        <c:delete val="0"/>
        <c:axPos val="l"/>
        <c:majorGridlines>
          <c:spPr>
            <a:ln w="9525" cap="flat" cmpd="sng" algn="ctr">
              <a:solidFill>
                <a:schemeClr val="bg1">
                  <a:lumMod val="85000"/>
                </a:schemeClr>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404649664"/>
        <c:crosses val="autoZero"/>
        <c:crossBetween val="between"/>
      </c:valAx>
      <c:valAx>
        <c:axId val="404650784"/>
        <c:scaling>
          <c:orientation val="minMax"/>
        </c:scaling>
        <c:delete val="0"/>
        <c:axPos val="r"/>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404651344"/>
        <c:crosses val="max"/>
        <c:crossBetween val="between"/>
      </c:valAx>
      <c:catAx>
        <c:axId val="404651344"/>
        <c:scaling>
          <c:orientation val="minMax"/>
        </c:scaling>
        <c:delete val="1"/>
        <c:axPos val="b"/>
        <c:numFmt formatCode="General" sourceLinked="1"/>
        <c:majorTickMark val="out"/>
        <c:minorTickMark val="none"/>
        <c:tickLblPos val="nextTo"/>
        <c:crossAx val="404650784"/>
        <c:crosses val="autoZero"/>
        <c:auto val="1"/>
        <c:lblAlgn val="ctr"/>
        <c:lblOffset val="100"/>
        <c:noMultiLvlLbl val="0"/>
      </c:catAx>
      <c:spPr>
        <a:noFill/>
        <a:ln>
          <a:noFill/>
        </a:ln>
        <a:effectLst/>
      </c:spPr>
    </c:plotArea>
    <c:legend>
      <c:legendPos val="r"/>
      <c:layout>
        <c:manualLayout>
          <c:xMode val="edge"/>
          <c:yMode val="edge"/>
          <c:x val="0.63856691253951503"/>
          <c:y val="0.21518410352394499"/>
          <c:w val="0.34269991804238398"/>
          <c:h val="0.508156383116045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тарифы!$A$22</c:f>
              <c:strCache>
                <c:ptCount val="1"/>
                <c:pt idx="0">
                  <c:v>Одноставочный тариф на холодную воду (питьевую) с учетом стадий подъем, очистка и транспортировка, руб./м3 </c:v>
                </c:pt>
              </c:strCache>
            </c:strRef>
          </c:tx>
          <c:spPr>
            <a:solidFill>
              <a:schemeClr val="tx2">
                <a:lumMod val="75000"/>
              </a:schemeClr>
            </a:solidFill>
            <a:ln>
              <a:noFill/>
            </a:ln>
            <a:effectLst/>
          </c:spPr>
          <c:invertIfNegative val="0"/>
          <c:dLbls>
            <c:dLbl>
              <c:idx val="0"/>
              <c:layout>
                <c:manualLayout>
                  <c:x val="0"/>
                  <c:y val="2.307470435535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7306028266512799E-2"/>
                </c:manualLayout>
              </c:layou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4.41708747079841E-17"/>
                  <c:y val="1.15373521776752E-2"/>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0"/>
                  <c:y val="1.7306028266512799E-2"/>
                </c:manualLayout>
              </c:layout>
              <c:showLegendKey val="0"/>
              <c:showVal val="1"/>
              <c:showCatName val="0"/>
              <c:showSerName val="0"/>
              <c:showPercent val="0"/>
              <c:showBubbleSize val="0"/>
              <c:extLst>
                <c:ext xmlns:c15="http://schemas.microsoft.com/office/drawing/2012/chart" uri="{CE6537A1-D6FC-4f65-9D91-7224C49458BB}"/>
              </c:extLst>
            </c:dLbl>
            <c:dLbl>
              <c:idx val="6"/>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10"/>
              <c:delete val="1"/>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тарифы!$B$21:$L$21</c:f>
              <c:strCache>
                <c:ptCount val="11"/>
                <c:pt idx="0">
                  <c:v>2012, I</c:v>
                </c:pt>
                <c:pt idx="1">
                  <c:v>2012, II</c:v>
                </c:pt>
                <c:pt idx="2">
                  <c:v>2013, I</c:v>
                </c:pt>
                <c:pt idx="3">
                  <c:v>2013, II</c:v>
                </c:pt>
                <c:pt idx="4">
                  <c:v>2014, I</c:v>
                </c:pt>
                <c:pt idx="5">
                  <c:v>2014, II</c:v>
                </c:pt>
                <c:pt idx="6">
                  <c:v>2015, I</c:v>
                </c:pt>
                <c:pt idx="7">
                  <c:v>2015, II</c:v>
                </c:pt>
                <c:pt idx="8">
                  <c:v>2016, I</c:v>
                </c:pt>
                <c:pt idx="9">
                  <c:v>2016, II</c:v>
                </c:pt>
                <c:pt idx="10">
                  <c:v>2017, I</c:v>
                </c:pt>
              </c:strCache>
            </c:strRef>
          </c:cat>
          <c:val>
            <c:numRef>
              <c:f>тарифы!$B$22:$L$22</c:f>
              <c:numCache>
                <c:formatCode>General</c:formatCode>
                <c:ptCount val="11"/>
                <c:pt idx="0">
                  <c:v>43.57</c:v>
                </c:pt>
                <c:pt idx="1">
                  <c:v>45.37</c:v>
                </c:pt>
                <c:pt idx="2">
                  <c:v>45.37</c:v>
                </c:pt>
                <c:pt idx="3">
                  <c:v>48.79</c:v>
                </c:pt>
                <c:pt idx="4">
                  <c:v>48.79</c:v>
                </c:pt>
                <c:pt idx="5">
                  <c:v>50.87</c:v>
                </c:pt>
                <c:pt idx="6">
                  <c:v>50.87</c:v>
                </c:pt>
                <c:pt idx="7">
                  <c:v>56.7</c:v>
                </c:pt>
                <c:pt idx="8">
                  <c:v>56.7</c:v>
                </c:pt>
                <c:pt idx="9">
                  <c:v>59.07</c:v>
                </c:pt>
                <c:pt idx="10">
                  <c:v>59.07</c:v>
                </c:pt>
              </c:numCache>
            </c:numRef>
          </c:val>
        </c:ser>
        <c:dLbls>
          <c:showLegendKey val="0"/>
          <c:showVal val="0"/>
          <c:showCatName val="0"/>
          <c:showSerName val="0"/>
          <c:showPercent val="0"/>
          <c:showBubbleSize val="0"/>
        </c:dLbls>
        <c:gapWidth val="23"/>
        <c:overlap val="-27"/>
        <c:axId val="357726432"/>
        <c:axId val="357725872"/>
      </c:barChart>
      <c:lineChart>
        <c:grouping val="standard"/>
        <c:varyColors val="0"/>
        <c:ser>
          <c:idx val="1"/>
          <c:order val="1"/>
          <c:tx>
            <c:strRef>
              <c:f>тарифы!$A$23</c:f>
              <c:strCache>
                <c:ptCount val="1"/>
                <c:pt idx="0">
                  <c:v>Темп прироста, %</c:v>
                </c:pt>
              </c:strCache>
            </c:strRef>
          </c:tx>
          <c:spPr>
            <a:ln w="28575" cap="rnd">
              <a:noFill/>
              <a:round/>
            </a:ln>
            <a:effectLst/>
          </c:spPr>
          <c:marker>
            <c:symbol val="triangle"/>
            <c:size val="12"/>
            <c:spPr>
              <a:solidFill>
                <a:srgbClr val="8B1007"/>
              </a:solidFill>
              <a:ln w="9525">
                <a:noFill/>
              </a:ln>
              <a:effectLst/>
            </c:spPr>
          </c:marker>
          <c:dLbls>
            <c:dLbl>
              <c:idx val="7"/>
              <c:layout>
                <c:manualLayout>
                  <c:x val="-9.6373930851704603E-3"/>
                  <c:y val="2.8843380444188001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тарифы!$B$21:$L$21</c:f>
              <c:strCache>
                <c:ptCount val="11"/>
                <c:pt idx="0">
                  <c:v>2012, I</c:v>
                </c:pt>
                <c:pt idx="1">
                  <c:v>2012, II</c:v>
                </c:pt>
                <c:pt idx="2">
                  <c:v>2013, I</c:v>
                </c:pt>
                <c:pt idx="3">
                  <c:v>2013, II</c:v>
                </c:pt>
                <c:pt idx="4">
                  <c:v>2014, I</c:v>
                </c:pt>
                <c:pt idx="5">
                  <c:v>2014, II</c:v>
                </c:pt>
                <c:pt idx="6">
                  <c:v>2015, I</c:v>
                </c:pt>
                <c:pt idx="7">
                  <c:v>2015, II</c:v>
                </c:pt>
                <c:pt idx="8">
                  <c:v>2016, I</c:v>
                </c:pt>
                <c:pt idx="9">
                  <c:v>2016, II</c:v>
                </c:pt>
                <c:pt idx="10">
                  <c:v>2017, I</c:v>
                </c:pt>
              </c:strCache>
            </c:strRef>
          </c:cat>
          <c:val>
            <c:numRef>
              <c:f>тарифы!$B$23:$L$23</c:f>
              <c:numCache>
                <c:formatCode>0.0%</c:formatCode>
                <c:ptCount val="11"/>
                <c:pt idx="1">
                  <c:v>4.1312829928850103E-2</c:v>
                </c:pt>
                <c:pt idx="3">
                  <c:v>7.5380207185364895E-2</c:v>
                </c:pt>
                <c:pt idx="5">
                  <c:v>4.2631686821069902E-2</c:v>
                </c:pt>
                <c:pt idx="7">
                  <c:v>0.11460585806958901</c:v>
                </c:pt>
                <c:pt idx="9">
                  <c:v>4.1798941798941697E-2</c:v>
                </c:pt>
              </c:numCache>
            </c:numRef>
          </c:val>
          <c:smooth val="0"/>
        </c:ser>
        <c:dLbls>
          <c:showLegendKey val="0"/>
          <c:showVal val="0"/>
          <c:showCatName val="0"/>
          <c:showSerName val="0"/>
          <c:showPercent val="0"/>
          <c:showBubbleSize val="0"/>
        </c:dLbls>
        <c:marker val="1"/>
        <c:smooth val="0"/>
        <c:axId val="404654144"/>
        <c:axId val="404654704"/>
      </c:lineChart>
      <c:catAx>
        <c:axId val="404654144"/>
        <c:scaling>
          <c:orientation val="minMax"/>
        </c:scaling>
        <c:delete val="0"/>
        <c:axPos val="b"/>
        <c:numFmt formatCode="General" sourceLinked="1"/>
        <c:majorTickMark val="none"/>
        <c:minorTickMark val="none"/>
        <c:tickLblPos val="nextTo"/>
        <c:spPr>
          <a:noFill/>
          <a:ln w="285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404654704"/>
        <c:crosses val="autoZero"/>
        <c:auto val="1"/>
        <c:lblAlgn val="ctr"/>
        <c:lblOffset val="100"/>
        <c:noMultiLvlLbl val="0"/>
      </c:catAx>
      <c:valAx>
        <c:axId val="404654704"/>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404654144"/>
        <c:crosses val="autoZero"/>
        <c:crossBetween val="between"/>
      </c:valAx>
      <c:valAx>
        <c:axId val="3577258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crossAx val="357726432"/>
        <c:crosses val="max"/>
        <c:crossBetween val="between"/>
      </c:valAx>
      <c:catAx>
        <c:axId val="357726432"/>
        <c:scaling>
          <c:orientation val="minMax"/>
        </c:scaling>
        <c:delete val="1"/>
        <c:axPos val="b"/>
        <c:numFmt formatCode="General" sourceLinked="1"/>
        <c:majorTickMark val="out"/>
        <c:minorTickMark val="none"/>
        <c:tickLblPos val="nextTo"/>
        <c:crossAx val="357725872"/>
        <c:crosses val="autoZero"/>
        <c:auto val="1"/>
        <c:lblAlgn val="ctr"/>
        <c:lblOffset val="100"/>
        <c:noMultiLvlLbl val="0"/>
      </c:catAx>
      <c:spPr>
        <a:noFill/>
        <a:ln>
          <a:noFill/>
        </a:ln>
        <a:effectLst/>
      </c:spPr>
    </c:plotArea>
    <c:legend>
      <c:legendPos val="r"/>
      <c:layout>
        <c:manualLayout>
          <c:xMode val="edge"/>
          <c:yMode val="edge"/>
          <c:x val="0.64369704058044397"/>
          <c:y val="0.197366849190001"/>
          <c:w val="0.33702817324921502"/>
          <c:h val="0.576422466949346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charset="0"/>
          <a:ea typeface="Times New Roman" charset="0"/>
          <a:cs typeface="Times New Roman" charset="0"/>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бюджет!$A$47</c:f>
              <c:strCache>
                <c:ptCount val="1"/>
                <c:pt idx="0">
                  <c:v>Прочее</c:v>
                </c:pt>
              </c:strCache>
            </c:strRef>
          </c:tx>
          <c:spPr>
            <a:solidFill>
              <a:schemeClr val="tx2">
                <a:lumMod val="50000"/>
              </a:schemeClr>
            </a:solidFill>
            <a:ln>
              <a:noFill/>
            </a:ln>
            <a:effectLst/>
          </c:spPr>
          <c:invertIfNegative val="0"/>
          <c:cat>
            <c:numRef>
              <c:f>бюджет!$B$46:$D$46</c:f>
              <c:numCache>
                <c:formatCode>General</c:formatCode>
                <c:ptCount val="3"/>
                <c:pt idx="0">
                  <c:v>2014</c:v>
                </c:pt>
                <c:pt idx="1">
                  <c:v>2015</c:v>
                </c:pt>
                <c:pt idx="2">
                  <c:v>2016</c:v>
                </c:pt>
              </c:numCache>
            </c:numRef>
          </c:cat>
          <c:val>
            <c:numRef>
              <c:f>бюджет!$B$47:$D$47</c:f>
              <c:numCache>
                <c:formatCode>General</c:formatCode>
                <c:ptCount val="3"/>
                <c:pt idx="0">
                  <c:v>117.8039999999996</c:v>
                </c:pt>
                <c:pt idx="1">
                  <c:v>194.65199999999999</c:v>
                </c:pt>
                <c:pt idx="2">
                  <c:v>241.6200000000008</c:v>
                </c:pt>
              </c:numCache>
            </c:numRef>
          </c:val>
        </c:ser>
        <c:ser>
          <c:idx val="1"/>
          <c:order val="1"/>
          <c:tx>
            <c:strRef>
              <c:f>бюджет!$A$48</c:f>
              <c:strCache>
                <c:ptCount val="1"/>
                <c:pt idx="0">
                  <c:v>Межбюджетные трансферты бюджетам поселений</c:v>
                </c:pt>
              </c:strCache>
            </c:strRef>
          </c:tx>
          <c:spPr>
            <a:solidFill>
              <a:schemeClr val="tx2">
                <a:lumMod val="7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бюджет!$B$46:$D$46</c:f>
              <c:numCache>
                <c:formatCode>General</c:formatCode>
                <c:ptCount val="3"/>
                <c:pt idx="0">
                  <c:v>2014</c:v>
                </c:pt>
                <c:pt idx="1">
                  <c:v>2015</c:v>
                </c:pt>
                <c:pt idx="2">
                  <c:v>2016</c:v>
                </c:pt>
              </c:numCache>
            </c:numRef>
          </c:cat>
          <c:val>
            <c:numRef>
              <c:f>бюджет!$B$48:$D$48</c:f>
              <c:numCache>
                <c:formatCode>General</c:formatCode>
                <c:ptCount val="3"/>
                <c:pt idx="0">
                  <c:v>347.77</c:v>
                </c:pt>
                <c:pt idx="1">
                  <c:v>413.02199999999999</c:v>
                </c:pt>
                <c:pt idx="2">
                  <c:v>485.512</c:v>
                </c:pt>
              </c:numCache>
            </c:numRef>
          </c:val>
        </c:ser>
        <c:ser>
          <c:idx val="2"/>
          <c:order val="2"/>
          <c:tx>
            <c:strRef>
              <c:f>бюджет!$A$49</c:f>
              <c:strCache>
                <c:ptCount val="1"/>
                <c:pt idx="0">
                  <c:v>Социальная политика</c:v>
                </c:pt>
              </c:strCache>
            </c:strRef>
          </c:tx>
          <c:spPr>
            <a:solidFill>
              <a:schemeClr val="tx2">
                <a:lumMod val="60000"/>
                <a:lumOff val="40000"/>
              </a:schemeClr>
            </a:solidFill>
            <a:ln>
              <a:noFill/>
            </a:ln>
            <a:effectLst/>
          </c:spPr>
          <c:invertIfNegative val="0"/>
          <c:cat>
            <c:numRef>
              <c:f>бюджет!$B$46:$D$46</c:f>
              <c:numCache>
                <c:formatCode>General</c:formatCode>
                <c:ptCount val="3"/>
                <c:pt idx="0">
                  <c:v>2014</c:v>
                </c:pt>
                <c:pt idx="1">
                  <c:v>2015</c:v>
                </c:pt>
                <c:pt idx="2">
                  <c:v>2016</c:v>
                </c:pt>
              </c:numCache>
            </c:numRef>
          </c:cat>
          <c:val>
            <c:numRef>
              <c:f>бюджет!$B$49:$D$49</c:f>
              <c:numCache>
                <c:formatCode>General</c:formatCode>
                <c:ptCount val="3"/>
                <c:pt idx="0">
                  <c:v>160.96</c:v>
                </c:pt>
                <c:pt idx="1">
                  <c:v>162.68899999999999</c:v>
                </c:pt>
                <c:pt idx="2">
                  <c:v>302.94900000000001</c:v>
                </c:pt>
              </c:numCache>
            </c:numRef>
          </c:val>
        </c:ser>
        <c:ser>
          <c:idx val="3"/>
          <c:order val="3"/>
          <c:tx>
            <c:strRef>
              <c:f>бюджет!$A$50</c:f>
              <c:strCache>
                <c:ptCount val="1"/>
                <c:pt idx="0">
                  <c:v>Культура и кинематография</c:v>
                </c:pt>
              </c:strCache>
            </c:strRef>
          </c:tx>
          <c:spPr>
            <a:solidFill>
              <a:schemeClr val="accent5">
                <a:lumMod val="50000"/>
              </a:schemeClr>
            </a:solidFill>
            <a:ln>
              <a:noFill/>
            </a:ln>
            <a:effectLst/>
          </c:spPr>
          <c:invertIfNegative val="0"/>
          <c:cat>
            <c:numRef>
              <c:f>бюджет!$B$46:$D$46</c:f>
              <c:numCache>
                <c:formatCode>General</c:formatCode>
                <c:ptCount val="3"/>
                <c:pt idx="0">
                  <c:v>2014</c:v>
                </c:pt>
                <c:pt idx="1">
                  <c:v>2015</c:v>
                </c:pt>
                <c:pt idx="2">
                  <c:v>2016</c:v>
                </c:pt>
              </c:numCache>
            </c:numRef>
          </c:cat>
          <c:val>
            <c:numRef>
              <c:f>бюджет!$B$50:$D$50</c:f>
              <c:numCache>
                <c:formatCode>General</c:formatCode>
                <c:ptCount val="3"/>
                <c:pt idx="0">
                  <c:v>176.494</c:v>
                </c:pt>
                <c:pt idx="1">
                  <c:v>257.04700000000003</c:v>
                </c:pt>
                <c:pt idx="2">
                  <c:v>305.40899999999999</c:v>
                </c:pt>
              </c:numCache>
            </c:numRef>
          </c:val>
        </c:ser>
        <c:ser>
          <c:idx val="4"/>
          <c:order val="4"/>
          <c:tx>
            <c:strRef>
              <c:f>бюджет!$A$51</c:f>
              <c:strCache>
                <c:ptCount val="1"/>
                <c:pt idx="0">
                  <c:v>Образование</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бюджет!$B$46:$D$46</c:f>
              <c:numCache>
                <c:formatCode>General</c:formatCode>
                <c:ptCount val="3"/>
                <c:pt idx="0">
                  <c:v>2014</c:v>
                </c:pt>
                <c:pt idx="1">
                  <c:v>2015</c:v>
                </c:pt>
                <c:pt idx="2">
                  <c:v>2016</c:v>
                </c:pt>
              </c:numCache>
            </c:numRef>
          </c:cat>
          <c:val>
            <c:numRef>
              <c:f>бюджет!$B$51:$D$51</c:f>
              <c:numCache>
                <c:formatCode>General</c:formatCode>
                <c:ptCount val="3"/>
                <c:pt idx="0">
                  <c:v>1492.337</c:v>
                </c:pt>
                <c:pt idx="1">
                  <c:v>1632.8889999999999</c:v>
                </c:pt>
                <c:pt idx="2">
                  <c:v>1808.704</c:v>
                </c:pt>
              </c:numCache>
            </c:numRef>
          </c:val>
        </c:ser>
        <c:ser>
          <c:idx val="5"/>
          <c:order val="5"/>
          <c:tx>
            <c:strRef>
              <c:f>бюджет!$A$52</c:f>
              <c:strCache>
                <c:ptCount val="1"/>
                <c:pt idx="0">
                  <c:v>Жилищно-коммунальное хозяйство</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бюджет!$B$46:$D$46</c:f>
              <c:numCache>
                <c:formatCode>General</c:formatCode>
                <c:ptCount val="3"/>
                <c:pt idx="0">
                  <c:v>2014</c:v>
                </c:pt>
                <c:pt idx="1">
                  <c:v>2015</c:v>
                </c:pt>
                <c:pt idx="2">
                  <c:v>2016</c:v>
                </c:pt>
              </c:numCache>
            </c:numRef>
          </c:cat>
          <c:val>
            <c:numRef>
              <c:f>бюджет!$B$52:$D$52</c:f>
              <c:numCache>
                <c:formatCode>General</c:formatCode>
                <c:ptCount val="3"/>
                <c:pt idx="0">
                  <c:v>853.89200000000005</c:v>
                </c:pt>
                <c:pt idx="1">
                  <c:v>1045.0129999999999</c:v>
                </c:pt>
                <c:pt idx="2">
                  <c:v>969.7619999999996</c:v>
                </c:pt>
              </c:numCache>
            </c:numRef>
          </c:val>
        </c:ser>
        <c:ser>
          <c:idx val="6"/>
          <c:order val="6"/>
          <c:tx>
            <c:strRef>
              <c:f>бюджет!$A$53</c:f>
              <c:strCache>
                <c:ptCount val="1"/>
                <c:pt idx="0">
                  <c:v>Национальная экономика</c:v>
                </c:pt>
              </c:strCache>
            </c:strRef>
          </c:tx>
          <c:spPr>
            <a:solidFill>
              <a:schemeClr val="bg1">
                <a:lumMod val="7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бюджет!$B$46:$D$46</c:f>
              <c:numCache>
                <c:formatCode>General</c:formatCode>
                <c:ptCount val="3"/>
                <c:pt idx="0">
                  <c:v>2014</c:v>
                </c:pt>
                <c:pt idx="1">
                  <c:v>2015</c:v>
                </c:pt>
                <c:pt idx="2">
                  <c:v>2016</c:v>
                </c:pt>
              </c:numCache>
            </c:numRef>
          </c:cat>
          <c:val>
            <c:numRef>
              <c:f>бюджет!$B$53:$D$53</c:f>
              <c:numCache>
                <c:formatCode>General</c:formatCode>
                <c:ptCount val="3"/>
                <c:pt idx="0">
                  <c:v>291.97500000000002</c:v>
                </c:pt>
                <c:pt idx="1">
                  <c:v>401.529</c:v>
                </c:pt>
                <c:pt idx="2">
                  <c:v>567.78399999999999</c:v>
                </c:pt>
              </c:numCache>
            </c:numRef>
          </c:val>
        </c:ser>
        <c:ser>
          <c:idx val="7"/>
          <c:order val="7"/>
          <c:tx>
            <c:strRef>
              <c:f>бюджет!$A$54</c:f>
              <c:strCache>
                <c:ptCount val="1"/>
                <c:pt idx="0">
                  <c:v>Общегосударственные вопросы</c:v>
                </c:pt>
              </c:strCache>
            </c:strRef>
          </c:tx>
          <c:spPr>
            <a:solidFill>
              <a:schemeClr val="tx2">
                <a:lumMod val="20000"/>
                <a:lumOff val="8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бюджет!$B$46:$D$46</c:f>
              <c:numCache>
                <c:formatCode>General</c:formatCode>
                <c:ptCount val="3"/>
                <c:pt idx="0">
                  <c:v>2014</c:v>
                </c:pt>
                <c:pt idx="1">
                  <c:v>2015</c:v>
                </c:pt>
                <c:pt idx="2">
                  <c:v>2016</c:v>
                </c:pt>
              </c:numCache>
            </c:numRef>
          </c:cat>
          <c:val>
            <c:numRef>
              <c:f>бюджет!$B$54:$D$54</c:f>
              <c:numCache>
                <c:formatCode>General</c:formatCode>
                <c:ptCount val="3"/>
                <c:pt idx="0">
                  <c:v>478.60599999999999</c:v>
                </c:pt>
                <c:pt idx="1">
                  <c:v>545.803</c:v>
                </c:pt>
                <c:pt idx="2">
                  <c:v>623.4109999999996</c:v>
                </c:pt>
              </c:numCache>
            </c:numRef>
          </c:val>
        </c:ser>
        <c:dLbls>
          <c:showLegendKey val="0"/>
          <c:showVal val="0"/>
          <c:showCatName val="0"/>
          <c:showSerName val="0"/>
          <c:showPercent val="0"/>
          <c:showBubbleSize val="0"/>
        </c:dLbls>
        <c:gapWidth val="40"/>
        <c:overlap val="100"/>
        <c:axId val="357732592"/>
        <c:axId val="357733152"/>
      </c:barChart>
      <c:catAx>
        <c:axId val="357732592"/>
        <c:scaling>
          <c:orientation val="minMax"/>
        </c:scaling>
        <c:delete val="0"/>
        <c:axPos val="b"/>
        <c:numFmt formatCode="General" sourceLinked="1"/>
        <c:majorTickMark val="none"/>
        <c:minorTickMark val="none"/>
        <c:tickLblPos val="nextTo"/>
        <c:spPr>
          <a:noFill/>
          <a:ln w="285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charset="0"/>
                <a:ea typeface="Times New Roman" charset="0"/>
                <a:cs typeface="Times New Roman" charset="0"/>
              </a:defRPr>
            </a:pPr>
            <a:endParaRPr lang="ru-RU"/>
          </a:p>
        </c:txPr>
        <c:crossAx val="357733152"/>
        <c:crosses val="autoZero"/>
        <c:auto val="1"/>
        <c:lblAlgn val="ctr"/>
        <c:lblOffset val="100"/>
        <c:noMultiLvlLbl val="0"/>
      </c:catAx>
      <c:valAx>
        <c:axId val="357733152"/>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charset="0"/>
                <a:ea typeface="Times New Roman" charset="0"/>
                <a:cs typeface="Times New Roman" charset="0"/>
              </a:defRPr>
            </a:pPr>
            <a:endParaRPr lang="ru-RU"/>
          </a:p>
        </c:txPr>
        <c:crossAx val="357732592"/>
        <c:crosses val="autoZero"/>
        <c:crossBetween val="between"/>
      </c:valAx>
      <c:spPr>
        <a:noFill/>
        <a:ln>
          <a:noFill/>
        </a:ln>
        <a:effectLst/>
      </c:spPr>
    </c:plotArea>
    <c:legend>
      <c:legendPos val="r"/>
      <c:layout>
        <c:manualLayout>
          <c:xMode val="edge"/>
          <c:yMode val="edge"/>
          <c:x val="0.64468112454851301"/>
          <c:y val="3.7131201918461101E-2"/>
          <c:w val="0.34066181531440598"/>
          <c:h val="0.925737355537315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800">
          <a:solidFill>
            <a:schemeClr val="tx1"/>
          </a:solidFill>
          <a:latin typeface="Times New Roman" charset="0"/>
          <a:ea typeface="Times New Roman" charset="0"/>
          <a:cs typeface="Times New Roman"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'рис 4'!$A$3</c:f>
              <c:strCache>
                <c:ptCount val="1"/>
                <c:pt idx="0">
                  <c:v>численность женщин в возрасте 20-34 лет, чел.</c:v>
                </c:pt>
              </c:strCache>
            </c:strRef>
          </c:tx>
          <c:spPr>
            <a:solidFill>
              <a:schemeClr val="tx2">
                <a:lumMod val="75000"/>
              </a:schemeClr>
            </a:solidFill>
          </c:spPr>
          <c:invertIfNegative val="0"/>
          <c:dLbls>
            <c:dLbl>
              <c:idx val="0"/>
              <c:layout>
                <c:manualLayout>
                  <c:x val="-2.7777777777777801E-3"/>
                  <c:y val="0.2222222222222219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759259259259260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620370370370370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851851851851850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6E-16"/>
                  <c:y val="0.1388888888888890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'рис 4'!$B$1:$F$1</c:f>
              <c:numCache>
                <c:formatCode>General</c:formatCode>
                <c:ptCount val="5"/>
                <c:pt idx="0">
                  <c:v>2012</c:v>
                </c:pt>
                <c:pt idx="1">
                  <c:v>2013</c:v>
                </c:pt>
                <c:pt idx="2">
                  <c:v>2014</c:v>
                </c:pt>
                <c:pt idx="3">
                  <c:v>2015</c:v>
                </c:pt>
                <c:pt idx="4">
                  <c:v>2016</c:v>
                </c:pt>
              </c:numCache>
            </c:numRef>
          </c:cat>
          <c:val>
            <c:numRef>
              <c:f>'рис 4'!$B$3:$F$3</c:f>
              <c:numCache>
                <c:formatCode>General</c:formatCode>
                <c:ptCount val="5"/>
                <c:pt idx="0">
                  <c:v>5582</c:v>
                </c:pt>
                <c:pt idx="1">
                  <c:v>5377</c:v>
                </c:pt>
                <c:pt idx="2">
                  <c:v>5108</c:v>
                </c:pt>
                <c:pt idx="3">
                  <c:v>4967</c:v>
                </c:pt>
                <c:pt idx="4">
                  <c:v>4713</c:v>
                </c:pt>
              </c:numCache>
            </c:numRef>
          </c:val>
        </c:ser>
        <c:dLbls>
          <c:showLegendKey val="0"/>
          <c:showVal val="0"/>
          <c:showCatName val="0"/>
          <c:showSerName val="0"/>
          <c:showPercent val="0"/>
          <c:showBubbleSize val="0"/>
        </c:dLbls>
        <c:gapWidth val="47"/>
        <c:overlap val="-25"/>
        <c:axId val="246341360"/>
        <c:axId val="246341920"/>
      </c:barChart>
      <c:lineChart>
        <c:grouping val="standard"/>
        <c:varyColors val="0"/>
        <c:ser>
          <c:idx val="1"/>
          <c:order val="1"/>
          <c:tx>
            <c:strRef>
              <c:f>'рис 4'!$A$2</c:f>
              <c:strCache>
                <c:ptCount val="1"/>
                <c:pt idx="0">
                  <c:v>число родившихся, чел. (по правой шкале)</c:v>
                </c:pt>
              </c:strCache>
            </c:strRef>
          </c:tx>
          <c:spPr>
            <a:ln>
              <a:solidFill>
                <a:srgbClr val="67011C"/>
              </a:solidFill>
            </a:ln>
          </c:spPr>
          <c:marker>
            <c:spPr>
              <a:solidFill>
                <a:srgbClr val="67011C"/>
              </a:solidFill>
              <a:ln>
                <a:noFill/>
              </a:ln>
            </c:spPr>
          </c:marker>
          <c:dLbls>
            <c:dLbl>
              <c:idx val="0"/>
              <c:layout>
                <c:manualLayout>
                  <c:x val="-2.5462668816040001E-17"/>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314814814814809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240740740740739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851851851851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'рис 4'!$B$2:$F$2</c:f>
              <c:numCache>
                <c:formatCode>General</c:formatCode>
                <c:ptCount val="5"/>
                <c:pt idx="0">
                  <c:v>621</c:v>
                </c:pt>
                <c:pt idx="1">
                  <c:v>574</c:v>
                </c:pt>
                <c:pt idx="2">
                  <c:v>562</c:v>
                </c:pt>
                <c:pt idx="3">
                  <c:v>542</c:v>
                </c:pt>
                <c:pt idx="4">
                  <c:v>476</c:v>
                </c:pt>
              </c:numCache>
            </c:numRef>
          </c:val>
          <c:smooth val="0"/>
        </c:ser>
        <c:dLbls>
          <c:showLegendKey val="0"/>
          <c:showVal val="0"/>
          <c:showCatName val="0"/>
          <c:showSerName val="0"/>
          <c:showPercent val="0"/>
          <c:showBubbleSize val="0"/>
        </c:dLbls>
        <c:marker val="1"/>
        <c:smooth val="0"/>
        <c:axId val="362689360"/>
        <c:axId val="246342480"/>
      </c:lineChart>
      <c:catAx>
        <c:axId val="246341360"/>
        <c:scaling>
          <c:orientation val="minMax"/>
        </c:scaling>
        <c:delete val="0"/>
        <c:axPos val="b"/>
        <c:numFmt formatCode="General" sourceLinked="1"/>
        <c:majorTickMark val="none"/>
        <c:minorTickMark val="none"/>
        <c:tickLblPos val="nextTo"/>
        <c:spPr>
          <a:ln w="22225">
            <a:solidFill>
              <a:schemeClr val="tx1"/>
            </a:solidFill>
          </a:ln>
        </c:spPr>
        <c:crossAx val="246341920"/>
        <c:crosses val="autoZero"/>
        <c:auto val="1"/>
        <c:lblAlgn val="ctr"/>
        <c:lblOffset val="100"/>
        <c:noMultiLvlLbl val="0"/>
      </c:catAx>
      <c:valAx>
        <c:axId val="246341920"/>
        <c:scaling>
          <c:orientation val="minMax"/>
        </c:scaling>
        <c:delete val="0"/>
        <c:axPos val="l"/>
        <c:majorGridlines>
          <c:spPr>
            <a:ln>
              <a:solidFill>
                <a:schemeClr val="bg1">
                  <a:lumMod val="85000"/>
                </a:schemeClr>
              </a:solidFill>
              <a:prstDash val="sysDash"/>
            </a:ln>
          </c:spPr>
        </c:majorGridlines>
        <c:numFmt formatCode="General" sourceLinked="1"/>
        <c:majorTickMark val="none"/>
        <c:minorTickMark val="none"/>
        <c:tickLblPos val="nextTo"/>
        <c:spPr>
          <a:ln w="9525">
            <a:noFill/>
          </a:ln>
        </c:spPr>
        <c:crossAx val="246341360"/>
        <c:crosses val="autoZero"/>
        <c:crossBetween val="between"/>
      </c:valAx>
      <c:valAx>
        <c:axId val="246342480"/>
        <c:scaling>
          <c:orientation val="minMax"/>
        </c:scaling>
        <c:delete val="0"/>
        <c:axPos val="r"/>
        <c:numFmt formatCode="General" sourceLinked="1"/>
        <c:majorTickMark val="out"/>
        <c:minorTickMark val="none"/>
        <c:tickLblPos val="nextTo"/>
        <c:spPr>
          <a:ln>
            <a:noFill/>
          </a:ln>
        </c:spPr>
        <c:crossAx val="362689360"/>
        <c:crosses val="max"/>
        <c:crossBetween val="between"/>
      </c:valAx>
      <c:catAx>
        <c:axId val="362689360"/>
        <c:scaling>
          <c:orientation val="minMax"/>
        </c:scaling>
        <c:delete val="1"/>
        <c:axPos val="b"/>
        <c:majorTickMark val="out"/>
        <c:minorTickMark val="none"/>
        <c:tickLblPos val="nextTo"/>
        <c:crossAx val="246342480"/>
        <c:crosses val="autoZero"/>
        <c:auto val="1"/>
        <c:lblAlgn val="ctr"/>
        <c:lblOffset val="100"/>
        <c:noMultiLvlLbl val="0"/>
      </c:catAx>
    </c:plotArea>
    <c:legend>
      <c:legendPos val="r"/>
      <c:overlay val="0"/>
      <c:txPr>
        <a:bodyPr/>
        <a:lstStyle/>
        <a:p>
          <a:pPr>
            <a:defRPr sz="900"/>
          </a:pPr>
          <a:endParaRPr lang="ru-RU"/>
        </a:p>
      </c:txPr>
    </c:legend>
    <c:plotVisOnly val="1"/>
    <c:dispBlanksAs val="gap"/>
    <c:showDLblsOverMax val="0"/>
  </c:chart>
  <c:spPr>
    <a:ln>
      <a:noFill/>
    </a:ln>
  </c:spPr>
  <c:txPr>
    <a:bodyPr/>
    <a:lstStyle/>
    <a:p>
      <a:pPr>
        <a:defRPr sz="1050">
          <a:latin typeface="Times New Roman" charset="0"/>
          <a:ea typeface="Times New Roman" charset="0"/>
          <a:cs typeface="Times New Roman"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536628176202703E-2"/>
          <c:y val="6.6428206438426105E-2"/>
          <c:w val="0.59393906903789895"/>
          <c:h val="0.74986782758440296"/>
        </c:manualLayout>
      </c:layout>
      <c:barChart>
        <c:barDir val="col"/>
        <c:grouping val="clustered"/>
        <c:varyColors val="0"/>
        <c:ser>
          <c:idx val="1"/>
          <c:order val="1"/>
          <c:tx>
            <c:strRef>
              <c:f>'Рынок труда'!$C$54</c:f>
              <c:strCache>
                <c:ptCount val="1"/>
                <c:pt idx="0">
                  <c:v>Среднегодовая численность занятых в экономике, тыс. чел._x000d_</c:v>
                </c:pt>
              </c:strCache>
            </c:strRef>
          </c:tx>
          <c:spPr>
            <a:solidFill>
              <a:schemeClr val="tx2">
                <a:lumMod val="75000"/>
              </a:schemeClr>
            </a:solidFill>
          </c:spPr>
          <c:invertIfNegative val="0"/>
          <c:dLbls>
            <c:spPr>
              <a:noFill/>
              <a:ln>
                <a:noFill/>
              </a:ln>
              <a:effectLst/>
            </c:spPr>
            <c:txPr>
              <a:bodyPr wrap="square" lIns="38100" tIns="19050" rIns="38100" bIns="19050" anchor="ctr">
                <a:spAutoFit/>
              </a:bodyPr>
              <a:lstStyle/>
              <a:p>
                <a:pPr>
                  <a:defRPr sz="1000" b="1">
                    <a:solidFill>
                      <a:schemeClr val="bg1"/>
                    </a:solidFill>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'Рынок труда'!$D$1:$J$1</c:f>
              <c:strCache>
                <c:ptCount val="7"/>
                <c:pt idx="0">
                  <c:v>2011</c:v>
                </c:pt>
                <c:pt idx="1">
                  <c:v>2012</c:v>
                </c:pt>
                <c:pt idx="2">
                  <c:v>2013</c:v>
                </c:pt>
                <c:pt idx="3">
                  <c:v>2014</c:v>
                </c:pt>
                <c:pt idx="4">
                  <c:v>2015</c:v>
                </c:pt>
                <c:pt idx="5">
                  <c:v>2016</c:v>
                </c:pt>
                <c:pt idx="6">
                  <c:v>2017 (оценка)</c:v>
                </c:pt>
              </c:strCache>
            </c:strRef>
          </c:cat>
          <c:val>
            <c:numRef>
              <c:f>'Рынок труда'!$D$54:$J$54</c:f>
              <c:numCache>
                <c:formatCode>General</c:formatCode>
                <c:ptCount val="7"/>
                <c:pt idx="0">
                  <c:v>27.2</c:v>
                </c:pt>
                <c:pt idx="1">
                  <c:v>28.6</c:v>
                </c:pt>
                <c:pt idx="2">
                  <c:v>27.2</c:v>
                </c:pt>
                <c:pt idx="3">
                  <c:v>28.8</c:v>
                </c:pt>
                <c:pt idx="4">
                  <c:v>31</c:v>
                </c:pt>
                <c:pt idx="5">
                  <c:v>31.1</c:v>
                </c:pt>
                <c:pt idx="6">
                  <c:v>31.2</c:v>
                </c:pt>
              </c:numCache>
            </c:numRef>
          </c:val>
        </c:ser>
        <c:dLbls>
          <c:showLegendKey val="0"/>
          <c:showVal val="0"/>
          <c:showCatName val="0"/>
          <c:showSerName val="0"/>
          <c:showPercent val="0"/>
          <c:showBubbleSize val="0"/>
        </c:dLbls>
        <c:gapWidth val="20"/>
        <c:axId val="307651472"/>
        <c:axId val="307648304"/>
      </c:barChart>
      <c:lineChart>
        <c:grouping val="standard"/>
        <c:varyColors val="0"/>
        <c:ser>
          <c:idx val="0"/>
          <c:order val="0"/>
          <c:tx>
            <c:strRef>
              <c:f>'Рынок труда'!$C$53</c:f>
              <c:strCache>
                <c:ptCount val="1"/>
                <c:pt idx="0">
                  <c:v>Динамика, % к предыдущему году (правая шкала)</c:v>
                </c:pt>
              </c:strCache>
            </c:strRef>
          </c:tx>
          <c:spPr>
            <a:ln>
              <a:solidFill>
                <a:srgbClr val="67011C"/>
              </a:solidFill>
            </a:ln>
          </c:spPr>
          <c:marker>
            <c:spPr>
              <a:solidFill>
                <a:srgbClr val="67011C"/>
              </a:solidFill>
              <a:ln>
                <a:noFill/>
              </a:ln>
            </c:spPr>
          </c:marker>
          <c:cat>
            <c:strRef>
              <c:f>'Рынок труда'!$D$1:$J$1</c:f>
              <c:strCache>
                <c:ptCount val="7"/>
                <c:pt idx="0">
                  <c:v>2011</c:v>
                </c:pt>
                <c:pt idx="1">
                  <c:v>2012</c:v>
                </c:pt>
                <c:pt idx="2">
                  <c:v>2013</c:v>
                </c:pt>
                <c:pt idx="3">
                  <c:v>2014</c:v>
                </c:pt>
                <c:pt idx="4">
                  <c:v>2015</c:v>
                </c:pt>
                <c:pt idx="5">
                  <c:v>2016</c:v>
                </c:pt>
                <c:pt idx="6">
                  <c:v>2017 (оценка)</c:v>
                </c:pt>
              </c:strCache>
            </c:strRef>
          </c:cat>
          <c:val>
            <c:numRef>
              <c:f>'Рынок труда'!$D$53:$J$53</c:f>
              <c:numCache>
                <c:formatCode>General</c:formatCode>
                <c:ptCount val="7"/>
                <c:pt idx="1">
                  <c:v>5.1470588235294032</c:v>
                </c:pt>
                <c:pt idx="2">
                  <c:v>-4.8951048951049057</c:v>
                </c:pt>
                <c:pt idx="3">
                  <c:v>5.8823529411764639</c:v>
                </c:pt>
                <c:pt idx="4">
                  <c:v>7.6388888888888706</c:v>
                </c:pt>
                <c:pt idx="5">
                  <c:v>0.32258064516129498</c:v>
                </c:pt>
                <c:pt idx="6">
                  <c:v>0.32154340836012801</c:v>
                </c:pt>
              </c:numCache>
            </c:numRef>
          </c:val>
          <c:smooth val="0"/>
        </c:ser>
        <c:dLbls>
          <c:showLegendKey val="0"/>
          <c:showVal val="0"/>
          <c:showCatName val="0"/>
          <c:showSerName val="0"/>
          <c:showPercent val="0"/>
          <c:showBubbleSize val="0"/>
        </c:dLbls>
        <c:marker val="1"/>
        <c:smooth val="0"/>
        <c:axId val="307649424"/>
        <c:axId val="307648864"/>
      </c:lineChart>
      <c:catAx>
        <c:axId val="307651472"/>
        <c:scaling>
          <c:orientation val="minMax"/>
        </c:scaling>
        <c:delete val="0"/>
        <c:axPos val="b"/>
        <c:numFmt formatCode="General" sourceLinked="0"/>
        <c:majorTickMark val="none"/>
        <c:minorTickMark val="none"/>
        <c:tickLblPos val="nextTo"/>
        <c:spPr>
          <a:ln w="22225">
            <a:solidFill>
              <a:schemeClr val="tx1"/>
            </a:solidFill>
          </a:ln>
        </c:spPr>
        <c:crossAx val="307648304"/>
        <c:crosses val="autoZero"/>
        <c:auto val="1"/>
        <c:lblAlgn val="ctr"/>
        <c:lblOffset val="100"/>
        <c:noMultiLvlLbl val="0"/>
      </c:catAx>
      <c:valAx>
        <c:axId val="307648304"/>
        <c:scaling>
          <c:orientation val="minMax"/>
        </c:scaling>
        <c:delete val="0"/>
        <c:axPos val="l"/>
        <c:majorGridlines>
          <c:spPr>
            <a:ln>
              <a:solidFill>
                <a:schemeClr val="bg1">
                  <a:lumMod val="85000"/>
                </a:schemeClr>
              </a:solidFill>
              <a:prstDash val="sysDash"/>
            </a:ln>
          </c:spPr>
        </c:majorGridlines>
        <c:numFmt formatCode="General" sourceLinked="1"/>
        <c:majorTickMark val="none"/>
        <c:minorTickMark val="none"/>
        <c:tickLblPos val="nextTo"/>
        <c:spPr>
          <a:ln w="9525">
            <a:noFill/>
          </a:ln>
        </c:spPr>
        <c:crossAx val="307651472"/>
        <c:crosses val="autoZero"/>
        <c:crossBetween val="between"/>
      </c:valAx>
      <c:valAx>
        <c:axId val="307648864"/>
        <c:scaling>
          <c:orientation val="minMax"/>
        </c:scaling>
        <c:delete val="0"/>
        <c:axPos val="r"/>
        <c:numFmt formatCode="General" sourceLinked="1"/>
        <c:majorTickMark val="out"/>
        <c:minorTickMark val="none"/>
        <c:tickLblPos val="nextTo"/>
        <c:spPr>
          <a:ln>
            <a:noFill/>
          </a:ln>
        </c:spPr>
        <c:crossAx val="307649424"/>
        <c:crosses val="max"/>
        <c:crossBetween val="between"/>
      </c:valAx>
      <c:catAx>
        <c:axId val="307649424"/>
        <c:scaling>
          <c:orientation val="minMax"/>
        </c:scaling>
        <c:delete val="1"/>
        <c:axPos val="b"/>
        <c:numFmt formatCode="General" sourceLinked="0"/>
        <c:majorTickMark val="out"/>
        <c:minorTickMark val="none"/>
        <c:tickLblPos val="nextTo"/>
        <c:crossAx val="307648864"/>
        <c:crosses val="autoZero"/>
        <c:auto val="1"/>
        <c:lblAlgn val="ctr"/>
        <c:lblOffset val="100"/>
        <c:noMultiLvlLbl val="0"/>
      </c:catAx>
    </c:plotArea>
    <c:legend>
      <c:legendPos val="r"/>
      <c:layout>
        <c:manualLayout>
          <c:xMode val="edge"/>
          <c:yMode val="edge"/>
          <c:x val="0.70501232539030401"/>
          <c:y val="0.123934271884895"/>
          <c:w val="0.29498767460969599"/>
          <c:h val="0.69081311182550798"/>
        </c:manualLayout>
      </c:layout>
      <c:overlay val="0"/>
    </c:legend>
    <c:plotVisOnly val="1"/>
    <c:dispBlanksAs val="gap"/>
    <c:showDLblsOverMax val="0"/>
  </c:chart>
  <c:spPr>
    <a:ln>
      <a:noFill/>
    </a:ln>
  </c:spPr>
  <c:txPr>
    <a:bodyPr/>
    <a:lstStyle/>
    <a:p>
      <a:pPr>
        <a:defRPr sz="900">
          <a:latin typeface="Times New Roman" charset="0"/>
          <a:ea typeface="Times New Roman" charset="0"/>
          <a:cs typeface="Times New Roman"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482012478428203E-2"/>
          <c:y val="5.8823529411764698E-2"/>
          <c:w val="0.87200318598168103"/>
          <c:h val="0.71189118894074899"/>
        </c:manualLayout>
      </c:layout>
      <c:barChart>
        <c:barDir val="col"/>
        <c:grouping val="stacked"/>
        <c:varyColors val="0"/>
        <c:ser>
          <c:idx val="0"/>
          <c:order val="0"/>
          <c:tx>
            <c:strRef>
              <c:f>здравоохр!$B$2</c:f>
              <c:strCache>
                <c:ptCount val="1"/>
                <c:pt idx="0">
                  <c:v>городское население</c:v>
                </c:pt>
              </c:strCache>
            </c:strRef>
          </c:tx>
          <c:spPr>
            <a:solidFill>
              <a:schemeClr val="tx2">
                <a:lumMod val="75000"/>
              </a:schemeClr>
            </a:solidFill>
          </c:spPr>
          <c:invertIfNegative val="0"/>
          <c:dLbls>
            <c:spPr>
              <a:noFill/>
              <a:ln>
                <a:noFill/>
              </a:ln>
              <a:effectLst/>
            </c:spPr>
            <c:txPr>
              <a:bodyPr/>
              <a:lstStyle/>
              <a:p>
                <a:pPr>
                  <a:defRPr sz="10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здравоохр!$A$3:$A$6</c:f>
              <c:strCache>
                <c:ptCount val="4"/>
                <c:pt idx="0">
                  <c:v>Смертность населения от болезней системы кровообращения, на 100 тыс. чел.</c:v>
                </c:pt>
                <c:pt idx="1">
                  <c:v>Смертность населения от злокачественных новообразований, на 100 тыс. чел.</c:v>
                </c:pt>
                <c:pt idx="2">
                  <c:v>Обеспеченность населения врачами, на 10 тыс. человек   населения</c:v>
                </c:pt>
                <c:pt idx="3">
                  <c:v>Обеспеченность населения средним медицинским персоналом,  
на 10 тыс. человек населения</c:v>
                </c:pt>
              </c:strCache>
            </c:strRef>
          </c:cat>
          <c:val>
            <c:numRef>
              <c:f>здравоохр!$B$3:$B$6</c:f>
              <c:numCache>
                <c:formatCode>General</c:formatCode>
                <c:ptCount val="4"/>
                <c:pt idx="0">
                  <c:v>232.5</c:v>
                </c:pt>
                <c:pt idx="1">
                  <c:v>102.9</c:v>
                </c:pt>
                <c:pt idx="2">
                  <c:v>36.6</c:v>
                </c:pt>
                <c:pt idx="3">
                  <c:v>129.6</c:v>
                </c:pt>
              </c:numCache>
            </c:numRef>
          </c:val>
        </c:ser>
        <c:ser>
          <c:idx val="1"/>
          <c:order val="1"/>
          <c:tx>
            <c:strRef>
              <c:f>здравоохр!$C$2</c:f>
              <c:strCache>
                <c:ptCount val="1"/>
                <c:pt idx="0">
                  <c:v>сельское население</c:v>
                </c:pt>
              </c:strCache>
            </c:strRef>
          </c:tx>
          <c:spPr>
            <a:solidFill>
              <a:srgbClr val="DD9FAD"/>
            </a:solidFill>
          </c:spPr>
          <c:invertIfNegative val="0"/>
          <c:dLbls>
            <c:dLbl>
              <c:idx val="2"/>
              <c:layout>
                <c:manualLayout>
                  <c:x val="0"/>
                  <c:y val="-3.16101426798321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здравоохр!$A$3:$A$6</c:f>
              <c:strCache>
                <c:ptCount val="4"/>
                <c:pt idx="0">
                  <c:v>Смертность населения от болезней системы кровообращения, на 100 тыс. чел.</c:v>
                </c:pt>
                <c:pt idx="1">
                  <c:v>Смертность населения от злокачественных новообразований, на 100 тыс. чел.</c:v>
                </c:pt>
                <c:pt idx="2">
                  <c:v>Обеспеченность населения врачами, на 10 тыс. человек   населения</c:v>
                </c:pt>
                <c:pt idx="3">
                  <c:v>Обеспеченность населения средним медицинским персоналом,  
на 10 тыс. человек населения</c:v>
                </c:pt>
              </c:strCache>
            </c:strRef>
          </c:cat>
          <c:val>
            <c:numRef>
              <c:f>здравоохр!$C$3:$C$6</c:f>
              <c:numCache>
                <c:formatCode>General</c:formatCode>
                <c:ptCount val="4"/>
                <c:pt idx="0">
                  <c:v>273.60000000000002</c:v>
                </c:pt>
                <c:pt idx="1">
                  <c:v>112.6</c:v>
                </c:pt>
                <c:pt idx="2">
                  <c:v>10.199999999999999</c:v>
                </c:pt>
                <c:pt idx="3">
                  <c:v>63.9</c:v>
                </c:pt>
              </c:numCache>
            </c:numRef>
          </c:val>
        </c:ser>
        <c:dLbls>
          <c:showLegendKey val="0"/>
          <c:showVal val="0"/>
          <c:showCatName val="0"/>
          <c:showSerName val="0"/>
          <c:showPercent val="0"/>
          <c:showBubbleSize val="0"/>
        </c:dLbls>
        <c:gapWidth val="75"/>
        <c:overlap val="100"/>
        <c:axId val="236230000"/>
        <c:axId val="236230560"/>
      </c:barChart>
      <c:catAx>
        <c:axId val="236230000"/>
        <c:scaling>
          <c:orientation val="minMax"/>
        </c:scaling>
        <c:delete val="0"/>
        <c:axPos val="b"/>
        <c:numFmt formatCode="General" sourceLinked="0"/>
        <c:majorTickMark val="none"/>
        <c:minorTickMark val="none"/>
        <c:tickLblPos val="nextTo"/>
        <c:spPr>
          <a:ln w="25400">
            <a:solidFill>
              <a:schemeClr val="tx1"/>
            </a:solidFill>
          </a:ln>
        </c:spPr>
        <c:txPr>
          <a:bodyPr/>
          <a:lstStyle/>
          <a:p>
            <a:pPr>
              <a:defRPr sz="700"/>
            </a:pPr>
            <a:endParaRPr lang="ru-RU"/>
          </a:p>
        </c:txPr>
        <c:crossAx val="236230560"/>
        <c:crosses val="autoZero"/>
        <c:auto val="1"/>
        <c:lblAlgn val="ctr"/>
        <c:lblOffset val="100"/>
        <c:noMultiLvlLbl val="0"/>
      </c:catAx>
      <c:valAx>
        <c:axId val="236230560"/>
        <c:scaling>
          <c:orientation val="minMax"/>
        </c:scaling>
        <c:delete val="0"/>
        <c:axPos val="l"/>
        <c:majorGridlines>
          <c:spPr>
            <a:ln>
              <a:solidFill>
                <a:schemeClr val="bg1">
                  <a:lumMod val="85000"/>
                </a:schemeClr>
              </a:solidFill>
              <a:prstDash val="sysDash"/>
            </a:ln>
          </c:spPr>
        </c:majorGridlines>
        <c:numFmt formatCode="General" sourceLinked="1"/>
        <c:majorTickMark val="none"/>
        <c:minorTickMark val="none"/>
        <c:tickLblPos val="nextTo"/>
        <c:spPr>
          <a:ln w="9525">
            <a:noFill/>
          </a:ln>
        </c:spPr>
        <c:crossAx val="236230000"/>
        <c:crosses val="autoZero"/>
        <c:crossBetween val="between"/>
      </c:valAx>
    </c:plotArea>
    <c:legend>
      <c:legendPos val="b"/>
      <c:layout>
        <c:manualLayout>
          <c:xMode val="edge"/>
          <c:yMode val="edge"/>
          <c:x val="0.26817009063668701"/>
          <c:y val="6.1637837438994897E-2"/>
          <c:w val="0.71548598918053097"/>
          <c:h val="6.3656995325999596E-2"/>
        </c:manualLayout>
      </c:layout>
      <c:overlay val="0"/>
      <c:txPr>
        <a:bodyPr/>
        <a:lstStyle/>
        <a:p>
          <a:pPr>
            <a:defRPr sz="1050"/>
          </a:pPr>
          <a:endParaRPr lang="ru-RU"/>
        </a:p>
      </c:txPr>
    </c:legend>
    <c:plotVisOnly val="1"/>
    <c:dispBlanksAs val="gap"/>
    <c:showDLblsOverMax val="0"/>
  </c:chart>
  <c:spPr>
    <a:ln>
      <a:noFill/>
    </a:ln>
  </c:spPr>
  <c:txPr>
    <a:bodyPr/>
    <a:lstStyle/>
    <a:p>
      <a:pPr>
        <a:defRPr sz="1200">
          <a:latin typeface="Times New Roman" charset="0"/>
          <a:ea typeface="Times New Roman" charset="0"/>
          <a:cs typeface="Times New Roman"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428810073394494E-2"/>
          <c:y val="4.3475351829315098E-2"/>
          <c:w val="0.55373521963816696"/>
          <c:h val="0.78991271727826495"/>
        </c:manualLayout>
      </c:layout>
      <c:barChart>
        <c:barDir val="col"/>
        <c:grouping val="clustered"/>
        <c:varyColors val="0"/>
        <c:ser>
          <c:idx val="0"/>
          <c:order val="0"/>
          <c:tx>
            <c:strRef>
              <c:f>графики2!$A$34</c:f>
              <c:strCache>
                <c:ptCount val="1"/>
                <c:pt idx="0">
                  <c:v>Численность детей в дошкольных образовательных учреждениях, чел.</c:v>
                </c:pt>
              </c:strCache>
            </c:strRef>
          </c:tx>
          <c:spPr>
            <a:solidFill>
              <a:srgbClr val="DD9FAD"/>
            </a:solidFill>
          </c:spPr>
          <c:invertIfNegative val="0"/>
          <c:dLbls>
            <c:spPr>
              <a:solidFill>
                <a:schemeClr val="bg1"/>
              </a:solidFill>
              <a:ln>
                <a:solidFill>
                  <a:srgbClr val="DD9FAD"/>
                </a:solid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графики2!$B$33:$G$33</c:f>
              <c:numCache>
                <c:formatCode>General</c:formatCode>
                <c:ptCount val="6"/>
                <c:pt idx="0">
                  <c:v>2011</c:v>
                </c:pt>
                <c:pt idx="1">
                  <c:v>2012</c:v>
                </c:pt>
                <c:pt idx="2">
                  <c:v>2013</c:v>
                </c:pt>
                <c:pt idx="3">
                  <c:v>2014</c:v>
                </c:pt>
                <c:pt idx="4">
                  <c:v>2015</c:v>
                </c:pt>
                <c:pt idx="5">
                  <c:v>2016</c:v>
                </c:pt>
              </c:numCache>
            </c:numRef>
          </c:cat>
          <c:val>
            <c:numRef>
              <c:f>графики2!$B$34:$G$34</c:f>
              <c:numCache>
                <c:formatCode>General</c:formatCode>
                <c:ptCount val="6"/>
                <c:pt idx="0">
                  <c:v>1867</c:v>
                </c:pt>
                <c:pt idx="1">
                  <c:v>1898</c:v>
                </c:pt>
                <c:pt idx="2">
                  <c:v>2422</c:v>
                </c:pt>
                <c:pt idx="3">
                  <c:v>2287</c:v>
                </c:pt>
                <c:pt idx="4">
                  <c:v>2298</c:v>
                </c:pt>
                <c:pt idx="5">
                  <c:v>2218</c:v>
                </c:pt>
              </c:numCache>
            </c:numRef>
          </c:val>
        </c:ser>
        <c:ser>
          <c:idx val="1"/>
          <c:order val="1"/>
          <c:tx>
            <c:strRef>
              <c:f>графики2!$A$35</c:f>
              <c:strCache>
                <c:ptCount val="1"/>
                <c:pt idx="0">
                  <c:v>Численность обучающихся в общеобразовательных учреждениях (без вечерних (сменных) общеобразовательных учреждений (на начало учебного года), чел.</c:v>
                </c:pt>
              </c:strCache>
            </c:strRef>
          </c:tx>
          <c:spPr>
            <a:solidFill>
              <a:schemeClr val="tx2">
                <a:lumMod val="75000"/>
              </a:schemeClr>
            </a:solidFill>
          </c:spPr>
          <c:invertIfNegative val="0"/>
          <c:dLbls>
            <c:spPr>
              <a:solidFill>
                <a:schemeClr val="bg1"/>
              </a:solidFill>
              <a:ln>
                <a:solidFill>
                  <a:schemeClr val="tx2">
                    <a:lumMod val="75000"/>
                  </a:schemeClr>
                </a:solid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графики2!$B$33:$G$33</c:f>
              <c:numCache>
                <c:formatCode>General</c:formatCode>
                <c:ptCount val="6"/>
                <c:pt idx="0">
                  <c:v>2011</c:v>
                </c:pt>
                <c:pt idx="1">
                  <c:v>2012</c:v>
                </c:pt>
                <c:pt idx="2">
                  <c:v>2013</c:v>
                </c:pt>
                <c:pt idx="3">
                  <c:v>2014</c:v>
                </c:pt>
                <c:pt idx="4">
                  <c:v>2015</c:v>
                </c:pt>
                <c:pt idx="5">
                  <c:v>2016</c:v>
                </c:pt>
              </c:numCache>
            </c:numRef>
          </c:cat>
          <c:val>
            <c:numRef>
              <c:f>графики2!$B$35:$G$35</c:f>
              <c:numCache>
                <c:formatCode>General</c:formatCode>
                <c:ptCount val="6"/>
                <c:pt idx="0">
                  <c:v>4642</c:v>
                </c:pt>
                <c:pt idx="1">
                  <c:v>4626</c:v>
                </c:pt>
                <c:pt idx="2">
                  <c:v>4692</c:v>
                </c:pt>
                <c:pt idx="3">
                  <c:v>4711</c:v>
                </c:pt>
                <c:pt idx="4">
                  <c:v>4800</c:v>
                </c:pt>
                <c:pt idx="5">
                  <c:v>4859</c:v>
                </c:pt>
              </c:numCache>
            </c:numRef>
          </c:val>
        </c:ser>
        <c:dLbls>
          <c:showLegendKey val="0"/>
          <c:showVal val="0"/>
          <c:showCatName val="0"/>
          <c:showSerName val="0"/>
          <c:showPercent val="0"/>
          <c:showBubbleSize val="0"/>
        </c:dLbls>
        <c:gapWidth val="15"/>
        <c:overlap val="8"/>
        <c:axId val="236233360"/>
        <c:axId val="236233920"/>
      </c:barChart>
      <c:catAx>
        <c:axId val="236233360"/>
        <c:scaling>
          <c:orientation val="minMax"/>
        </c:scaling>
        <c:delete val="0"/>
        <c:axPos val="b"/>
        <c:numFmt formatCode="General" sourceLinked="1"/>
        <c:majorTickMark val="none"/>
        <c:minorTickMark val="none"/>
        <c:tickLblPos val="nextTo"/>
        <c:spPr>
          <a:ln w="25400">
            <a:solidFill>
              <a:schemeClr val="tx1"/>
            </a:solidFill>
          </a:ln>
        </c:spPr>
        <c:crossAx val="236233920"/>
        <c:crosses val="autoZero"/>
        <c:auto val="1"/>
        <c:lblAlgn val="ctr"/>
        <c:lblOffset val="100"/>
        <c:noMultiLvlLbl val="0"/>
      </c:catAx>
      <c:valAx>
        <c:axId val="236233920"/>
        <c:scaling>
          <c:orientation val="minMax"/>
          <c:max val="5000"/>
        </c:scaling>
        <c:delete val="0"/>
        <c:axPos val="l"/>
        <c:majorGridlines>
          <c:spPr>
            <a:ln>
              <a:solidFill>
                <a:schemeClr val="bg1">
                  <a:lumMod val="85000"/>
                </a:schemeClr>
              </a:solidFill>
              <a:prstDash val="sysDash"/>
            </a:ln>
          </c:spPr>
        </c:majorGridlines>
        <c:numFmt formatCode="General" sourceLinked="1"/>
        <c:majorTickMark val="none"/>
        <c:minorTickMark val="none"/>
        <c:tickLblPos val="nextTo"/>
        <c:spPr>
          <a:ln w="9525">
            <a:noFill/>
          </a:ln>
        </c:spPr>
        <c:crossAx val="236233360"/>
        <c:crosses val="autoZero"/>
        <c:crossBetween val="between"/>
      </c:valAx>
    </c:plotArea>
    <c:legend>
      <c:legendPos val="r"/>
      <c:layout>
        <c:manualLayout>
          <c:xMode val="edge"/>
          <c:yMode val="edge"/>
          <c:x val="0.63828503091924405"/>
          <c:y val="0.22506636063204599"/>
          <c:w val="0.353426469388818"/>
          <c:h val="0.53321899539885498"/>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850058456017103E-2"/>
          <c:y val="2.6918775901007899E-2"/>
          <c:w val="0.58578275608917596"/>
          <c:h val="0.77236283784497095"/>
        </c:manualLayout>
      </c:layout>
      <c:barChart>
        <c:barDir val="col"/>
        <c:grouping val="clustered"/>
        <c:varyColors val="0"/>
        <c:ser>
          <c:idx val="0"/>
          <c:order val="0"/>
          <c:tx>
            <c:strRef>
              <c:f>Промышленность!$M$18</c:f>
              <c:strCache>
                <c:ptCount val="1"/>
                <c:pt idx="0">
                  <c:v>Объем отгруженных товаров собственного производства, выполненных работ и услуг собственными силами, млрд руб.</c:v>
                </c:pt>
              </c:strCache>
            </c:strRef>
          </c:tx>
          <c:spPr>
            <a:solidFill>
              <a:schemeClr val="tx2">
                <a:lumMod val="75000"/>
              </a:schemeClr>
            </a:solidFill>
            <a:ln>
              <a:noFill/>
            </a:ln>
          </c:spPr>
          <c:invertIfNegative val="0"/>
          <c:dLbls>
            <c:spPr>
              <a:noFill/>
              <a:ln>
                <a:noFill/>
              </a:ln>
              <a:effectLst/>
            </c:spPr>
            <c:txPr>
              <a:bodyPr/>
              <a:lstStyle/>
              <a:p>
                <a:pPr>
                  <a:defRPr b="1">
                    <a:solidFill>
                      <a:schemeClr val="bg1"/>
                    </a:solidFill>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Промышленность!$D$1:$J$1</c:f>
              <c:strCache>
                <c:ptCount val="7"/>
                <c:pt idx="0">
                  <c:v>2011</c:v>
                </c:pt>
                <c:pt idx="1">
                  <c:v>2012</c:v>
                </c:pt>
                <c:pt idx="2">
                  <c:v>2013</c:v>
                </c:pt>
                <c:pt idx="3">
                  <c:v>2014</c:v>
                </c:pt>
                <c:pt idx="4">
                  <c:v>2015</c:v>
                </c:pt>
                <c:pt idx="5">
                  <c:v>2016</c:v>
                </c:pt>
                <c:pt idx="6">
                  <c:v>2017 (оценка)</c:v>
                </c:pt>
              </c:strCache>
            </c:strRef>
          </c:cat>
          <c:val>
            <c:numRef>
              <c:f>Промышленность!$D$17:$J$17</c:f>
              <c:numCache>
                <c:formatCode>0.0</c:formatCode>
                <c:ptCount val="7"/>
                <c:pt idx="0">
                  <c:v>156.98240000000001</c:v>
                </c:pt>
                <c:pt idx="1">
                  <c:v>178.1688</c:v>
                </c:pt>
                <c:pt idx="2">
                  <c:v>190.7576</c:v>
                </c:pt>
                <c:pt idx="3">
                  <c:v>201.09110000000001</c:v>
                </c:pt>
                <c:pt idx="4">
                  <c:v>223.85480000000001</c:v>
                </c:pt>
                <c:pt idx="5">
                  <c:v>249.85480000000001</c:v>
                </c:pt>
                <c:pt idx="6">
                  <c:v>257.67599999999999</c:v>
                </c:pt>
              </c:numCache>
            </c:numRef>
          </c:val>
        </c:ser>
        <c:dLbls>
          <c:showLegendKey val="0"/>
          <c:showVal val="0"/>
          <c:showCatName val="0"/>
          <c:showSerName val="0"/>
          <c:showPercent val="0"/>
          <c:showBubbleSize val="0"/>
        </c:dLbls>
        <c:gapWidth val="37"/>
        <c:overlap val="-25"/>
        <c:axId val="236236720"/>
        <c:axId val="367207552"/>
      </c:barChart>
      <c:lineChart>
        <c:grouping val="standard"/>
        <c:varyColors val="0"/>
        <c:ser>
          <c:idx val="1"/>
          <c:order val="1"/>
          <c:tx>
            <c:strRef>
              <c:f>Промышленность!$M$19</c:f>
              <c:strCache>
                <c:ptCount val="1"/>
                <c:pt idx="0">
                  <c:v>Индекс промышленного производства, % к предыдущему году (правая шкала)</c:v>
                </c:pt>
              </c:strCache>
            </c:strRef>
          </c:tx>
          <c:spPr>
            <a:ln>
              <a:solidFill>
                <a:srgbClr val="67011C"/>
              </a:solidFill>
            </a:ln>
          </c:spPr>
          <c:marker>
            <c:spPr>
              <a:solidFill>
                <a:srgbClr val="67011C"/>
              </a:solidFill>
              <a:ln>
                <a:noFill/>
              </a:ln>
            </c:spPr>
          </c:marker>
          <c:dLbls>
            <c:dLbl>
              <c:idx val="0"/>
              <c:layout>
                <c:manualLayout>
                  <c:x val="-2.6368793882024601E-2"/>
                  <c:y val="3.71293460703557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862292607446399E-2"/>
                  <c:y val="-4.12548289670619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862292607446302E-2"/>
                  <c:y val="-3.919208751870879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706472263273199E-2"/>
                  <c:y val="2.897800067767460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71464483708879E-2"/>
                  <c:y val="-3.309644290794570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6368793882024601E-2"/>
                  <c:y val="3.0941121725296401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Промышленность!$D$1:$J$1</c:f>
              <c:strCache>
                <c:ptCount val="7"/>
                <c:pt idx="0">
                  <c:v>2011</c:v>
                </c:pt>
                <c:pt idx="1">
                  <c:v>2012</c:v>
                </c:pt>
                <c:pt idx="2">
                  <c:v>2013</c:v>
                </c:pt>
                <c:pt idx="3">
                  <c:v>2014</c:v>
                </c:pt>
                <c:pt idx="4">
                  <c:v>2015</c:v>
                </c:pt>
                <c:pt idx="5">
                  <c:v>2016</c:v>
                </c:pt>
                <c:pt idx="6">
                  <c:v>2017 (оценка)</c:v>
                </c:pt>
              </c:strCache>
            </c:strRef>
          </c:cat>
          <c:val>
            <c:numRef>
              <c:f>Промышленность!$D$20:$J$20</c:f>
              <c:numCache>
                <c:formatCode>General</c:formatCode>
                <c:ptCount val="7"/>
                <c:pt idx="0">
                  <c:v>98.5</c:v>
                </c:pt>
                <c:pt idx="1">
                  <c:v>102.6</c:v>
                </c:pt>
                <c:pt idx="2">
                  <c:v>102.9</c:v>
                </c:pt>
                <c:pt idx="3" formatCode="#,##0.00">
                  <c:v>100.5</c:v>
                </c:pt>
                <c:pt idx="4">
                  <c:v>98.8</c:v>
                </c:pt>
                <c:pt idx="5">
                  <c:v>103.1</c:v>
                </c:pt>
                <c:pt idx="6">
                  <c:v>100.9</c:v>
                </c:pt>
              </c:numCache>
            </c:numRef>
          </c:val>
          <c:smooth val="0"/>
        </c:ser>
        <c:dLbls>
          <c:showLegendKey val="0"/>
          <c:showVal val="0"/>
          <c:showCatName val="0"/>
          <c:showSerName val="0"/>
          <c:showPercent val="0"/>
          <c:showBubbleSize val="0"/>
        </c:dLbls>
        <c:marker val="1"/>
        <c:smooth val="0"/>
        <c:axId val="367208672"/>
        <c:axId val="367208112"/>
      </c:lineChart>
      <c:catAx>
        <c:axId val="236236720"/>
        <c:scaling>
          <c:orientation val="minMax"/>
        </c:scaling>
        <c:delete val="0"/>
        <c:axPos val="b"/>
        <c:numFmt formatCode="General" sourceLinked="0"/>
        <c:majorTickMark val="none"/>
        <c:minorTickMark val="none"/>
        <c:tickLblPos val="nextTo"/>
        <c:spPr>
          <a:ln w="28575">
            <a:solidFill>
              <a:schemeClr val="tx1"/>
            </a:solidFill>
          </a:ln>
        </c:spPr>
        <c:crossAx val="367207552"/>
        <c:crosses val="autoZero"/>
        <c:auto val="1"/>
        <c:lblAlgn val="ctr"/>
        <c:lblOffset val="100"/>
        <c:noMultiLvlLbl val="0"/>
      </c:catAx>
      <c:valAx>
        <c:axId val="367207552"/>
        <c:scaling>
          <c:orientation val="minMax"/>
        </c:scaling>
        <c:delete val="0"/>
        <c:axPos val="l"/>
        <c:majorGridlines>
          <c:spPr>
            <a:ln>
              <a:solidFill>
                <a:schemeClr val="bg1">
                  <a:lumMod val="85000"/>
                </a:schemeClr>
              </a:solidFill>
              <a:prstDash val="sysDash"/>
            </a:ln>
          </c:spPr>
        </c:majorGridlines>
        <c:numFmt formatCode="0" sourceLinked="0"/>
        <c:majorTickMark val="none"/>
        <c:minorTickMark val="none"/>
        <c:tickLblPos val="nextTo"/>
        <c:spPr>
          <a:ln w="9525">
            <a:noFill/>
          </a:ln>
        </c:spPr>
        <c:crossAx val="236236720"/>
        <c:crosses val="autoZero"/>
        <c:crossBetween val="between"/>
      </c:valAx>
      <c:valAx>
        <c:axId val="367208112"/>
        <c:scaling>
          <c:orientation val="minMax"/>
        </c:scaling>
        <c:delete val="0"/>
        <c:axPos val="r"/>
        <c:numFmt formatCode="General" sourceLinked="1"/>
        <c:majorTickMark val="out"/>
        <c:minorTickMark val="none"/>
        <c:tickLblPos val="nextTo"/>
        <c:spPr>
          <a:ln>
            <a:noFill/>
          </a:ln>
        </c:spPr>
        <c:crossAx val="367208672"/>
        <c:crosses val="max"/>
        <c:crossBetween val="between"/>
      </c:valAx>
      <c:catAx>
        <c:axId val="367208672"/>
        <c:scaling>
          <c:orientation val="minMax"/>
        </c:scaling>
        <c:delete val="1"/>
        <c:axPos val="b"/>
        <c:numFmt formatCode="General" sourceLinked="0"/>
        <c:majorTickMark val="out"/>
        <c:minorTickMark val="none"/>
        <c:tickLblPos val="nextTo"/>
        <c:crossAx val="367208112"/>
        <c:crosses val="autoZero"/>
        <c:auto val="1"/>
        <c:lblAlgn val="ctr"/>
        <c:lblOffset val="100"/>
        <c:noMultiLvlLbl val="0"/>
      </c:catAx>
    </c:plotArea>
    <c:legend>
      <c:legendPos val="r"/>
      <c:layout>
        <c:manualLayout>
          <c:xMode val="edge"/>
          <c:yMode val="edge"/>
          <c:x val="0.67411215976859096"/>
          <c:y val="0.12841767428338"/>
          <c:w val="0.31384774071600402"/>
          <c:h val="0.59702404214596905"/>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254485825324801E-2"/>
          <c:y val="3.1747710501646501E-2"/>
          <c:w val="0.606229338782316"/>
          <c:h val="0.81539110003049198"/>
        </c:manualLayout>
      </c:layout>
      <c:barChart>
        <c:barDir val="col"/>
        <c:grouping val="clustered"/>
        <c:varyColors val="0"/>
        <c:ser>
          <c:idx val="0"/>
          <c:order val="0"/>
          <c:tx>
            <c:strRef>
              <c:f>Промышленность!$M$27</c:f>
              <c:strCache>
                <c:ptCount val="1"/>
                <c:pt idx="0">
                  <c:v>Объем отгруженных товаров собственного производства, выполненных работ и услуг собственными силами, млрд руб.</c:v>
                </c:pt>
              </c:strCache>
            </c:strRef>
          </c:tx>
          <c:spPr>
            <a:solidFill>
              <a:schemeClr val="tx2">
                <a:lumMod val="75000"/>
              </a:schemeClr>
            </a:solidFill>
          </c:spPr>
          <c:invertIfNegative val="0"/>
          <c:dLbls>
            <c:spPr>
              <a:noFill/>
              <a:ln>
                <a:noFill/>
              </a:ln>
              <a:effectLst/>
            </c:spPr>
            <c:txPr>
              <a:bodyPr wrap="square" lIns="38100" tIns="19050" rIns="38100" bIns="19050" anchor="ctr">
                <a:spAutoFit/>
              </a:bodyPr>
              <a:lstStyle/>
              <a:p>
                <a:pPr>
                  <a:defRPr b="1">
                    <a:solidFill>
                      <a:schemeClr val="bg1"/>
                    </a:solidFill>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Промышленность!$D$1:$J$1</c:f>
              <c:strCache>
                <c:ptCount val="7"/>
                <c:pt idx="0">
                  <c:v>2011</c:v>
                </c:pt>
                <c:pt idx="1">
                  <c:v>2012</c:v>
                </c:pt>
                <c:pt idx="2">
                  <c:v>2013</c:v>
                </c:pt>
                <c:pt idx="3">
                  <c:v>2014</c:v>
                </c:pt>
                <c:pt idx="4">
                  <c:v>2015</c:v>
                </c:pt>
                <c:pt idx="5">
                  <c:v>2016</c:v>
                </c:pt>
                <c:pt idx="6">
                  <c:v>2017 (оценка)</c:v>
                </c:pt>
              </c:strCache>
            </c:strRef>
          </c:cat>
          <c:val>
            <c:numRef>
              <c:f>Промышленность!$D$21:$J$21</c:f>
              <c:numCache>
                <c:formatCode>0.0</c:formatCode>
                <c:ptCount val="7"/>
                <c:pt idx="0">
                  <c:v>139.5204</c:v>
                </c:pt>
                <c:pt idx="1">
                  <c:v>162.1165</c:v>
                </c:pt>
                <c:pt idx="2">
                  <c:v>172.25049999999999</c:v>
                </c:pt>
                <c:pt idx="3">
                  <c:v>181.3125</c:v>
                </c:pt>
                <c:pt idx="4">
                  <c:v>219.2449</c:v>
                </c:pt>
                <c:pt idx="5">
                  <c:v>245.55760000000001</c:v>
                </c:pt>
                <c:pt idx="6">
                  <c:v>252.6788</c:v>
                </c:pt>
              </c:numCache>
            </c:numRef>
          </c:val>
        </c:ser>
        <c:dLbls>
          <c:showLegendKey val="0"/>
          <c:showVal val="0"/>
          <c:showCatName val="0"/>
          <c:showSerName val="0"/>
          <c:showPercent val="0"/>
          <c:showBubbleSize val="0"/>
        </c:dLbls>
        <c:gapWidth val="52"/>
        <c:overlap val="-25"/>
        <c:axId val="367211472"/>
        <c:axId val="367212032"/>
      </c:barChart>
      <c:lineChart>
        <c:grouping val="standard"/>
        <c:varyColors val="0"/>
        <c:ser>
          <c:idx val="1"/>
          <c:order val="1"/>
          <c:tx>
            <c:strRef>
              <c:f>Промышленность!$M$28</c:f>
              <c:strCache>
                <c:ptCount val="1"/>
                <c:pt idx="0">
                  <c:v>Индекс  производства, % к предыдущему году (правая шкала)</c:v>
                </c:pt>
              </c:strCache>
            </c:strRef>
          </c:tx>
          <c:spPr>
            <a:ln>
              <a:solidFill>
                <a:srgbClr val="67011C"/>
              </a:solidFill>
            </a:ln>
          </c:spPr>
          <c:marker>
            <c:spPr>
              <a:solidFill>
                <a:srgbClr val="67011C"/>
              </a:solidFill>
              <a:ln>
                <a:noFill/>
              </a:ln>
            </c:spPr>
          </c:marker>
          <c:dLbls>
            <c:dLbl>
              <c:idx val="0"/>
              <c:delete val="1"/>
              <c:extLst>
                <c:ext xmlns:c15="http://schemas.microsoft.com/office/drawing/2012/chart" uri="{CE6537A1-D6FC-4f65-9D91-7224C49458BB}"/>
              </c:extLst>
            </c:dLbl>
            <c:dLbl>
              <c:idx val="1"/>
              <c:layout>
                <c:manualLayout>
                  <c:x val="-3.0168702092550698E-2"/>
                  <c:y val="-4.200576251354389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703980215575599E-2"/>
                  <c:y val="3.95348353068648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6936341154063102E-2"/>
                  <c:y val="-4.941854413358100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2626526569413E-2"/>
                  <c:y val="4.2005762513543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0168702092550799E-2"/>
                  <c:y val="-4.447668972022290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5858887507900701E-2"/>
                  <c:y val="3.9534835306864802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Промышленность!$D$1:$J$1</c:f>
              <c:strCache>
                <c:ptCount val="7"/>
                <c:pt idx="0">
                  <c:v>2011</c:v>
                </c:pt>
                <c:pt idx="1">
                  <c:v>2012</c:v>
                </c:pt>
                <c:pt idx="2">
                  <c:v>2013</c:v>
                </c:pt>
                <c:pt idx="3">
                  <c:v>2014</c:v>
                </c:pt>
                <c:pt idx="4">
                  <c:v>2015</c:v>
                </c:pt>
                <c:pt idx="5">
                  <c:v>2016</c:v>
                </c:pt>
                <c:pt idx="6">
                  <c:v>2017 (оценка)</c:v>
                </c:pt>
              </c:strCache>
            </c:strRef>
          </c:cat>
          <c:val>
            <c:numRef>
              <c:f>Промышленность!$D$23:$J$23</c:f>
              <c:numCache>
                <c:formatCode>General</c:formatCode>
                <c:ptCount val="7"/>
                <c:pt idx="0">
                  <c:v>98.2</c:v>
                </c:pt>
                <c:pt idx="1">
                  <c:v>101.1</c:v>
                </c:pt>
                <c:pt idx="2">
                  <c:v>98.5</c:v>
                </c:pt>
                <c:pt idx="3">
                  <c:v>100.5</c:v>
                </c:pt>
                <c:pt idx="4">
                  <c:v>98.8</c:v>
                </c:pt>
                <c:pt idx="5">
                  <c:v>103.1</c:v>
                </c:pt>
                <c:pt idx="6">
                  <c:v>100.5</c:v>
                </c:pt>
              </c:numCache>
            </c:numRef>
          </c:val>
          <c:smooth val="0"/>
        </c:ser>
        <c:dLbls>
          <c:showLegendKey val="0"/>
          <c:showVal val="0"/>
          <c:showCatName val="0"/>
          <c:showSerName val="0"/>
          <c:showPercent val="0"/>
          <c:showBubbleSize val="0"/>
        </c:dLbls>
        <c:marker val="1"/>
        <c:smooth val="0"/>
        <c:axId val="367213152"/>
        <c:axId val="367212592"/>
      </c:lineChart>
      <c:catAx>
        <c:axId val="367211472"/>
        <c:scaling>
          <c:orientation val="minMax"/>
        </c:scaling>
        <c:delete val="0"/>
        <c:axPos val="b"/>
        <c:numFmt formatCode="General" sourceLinked="0"/>
        <c:majorTickMark val="none"/>
        <c:minorTickMark val="none"/>
        <c:tickLblPos val="nextTo"/>
        <c:spPr>
          <a:ln w="25400">
            <a:solidFill>
              <a:schemeClr val="tx1"/>
            </a:solidFill>
          </a:ln>
        </c:spPr>
        <c:crossAx val="367212032"/>
        <c:crosses val="autoZero"/>
        <c:auto val="1"/>
        <c:lblAlgn val="ctr"/>
        <c:lblOffset val="100"/>
        <c:noMultiLvlLbl val="0"/>
      </c:catAx>
      <c:valAx>
        <c:axId val="367212032"/>
        <c:scaling>
          <c:orientation val="minMax"/>
        </c:scaling>
        <c:delete val="0"/>
        <c:axPos val="l"/>
        <c:majorGridlines>
          <c:spPr>
            <a:ln>
              <a:solidFill>
                <a:schemeClr val="bg1">
                  <a:lumMod val="85000"/>
                </a:schemeClr>
              </a:solidFill>
              <a:prstDash val="sysDash"/>
            </a:ln>
          </c:spPr>
        </c:majorGridlines>
        <c:numFmt formatCode="0" sourceLinked="0"/>
        <c:majorTickMark val="none"/>
        <c:minorTickMark val="none"/>
        <c:tickLblPos val="nextTo"/>
        <c:spPr>
          <a:ln w="9525">
            <a:noFill/>
          </a:ln>
        </c:spPr>
        <c:crossAx val="367211472"/>
        <c:crosses val="autoZero"/>
        <c:crossBetween val="between"/>
      </c:valAx>
      <c:valAx>
        <c:axId val="367212592"/>
        <c:scaling>
          <c:orientation val="minMax"/>
        </c:scaling>
        <c:delete val="0"/>
        <c:axPos val="r"/>
        <c:numFmt formatCode="General" sourceLinked="1"/>
        <c:majorTickMark val="out"/>
        <c:minorTickMark val="none"/>
        <c:tickLblPos val="nextTo"/>
        <c:spPr>
          <a:ln>
            <a:noFill/>
          </a:ln>
        </c:spPr>
        <c:crossAx val="367213152"/>
        <c:crosses val="max"/>
        <c:crossBetween val="between"/>
      </c:valAx>
      <c:catAx>
        <c:axId val="367213152"/>
        <c:scaling>
          <c:orientation val="minMax"/>
        </c:scaling>
        <c:delete val="1"/>
        <c:axPos val="b"/>
        <c:numFmt formatCode="General" sourceLinked="0"/>
        <c:majorTickMark val="out"/>
        <c:minorTickMark val="none"/>
        <c:tickLblPos val="nextTo"/>
        <c:crossAx val="367212592"/>
        <c:crosses val="autoZero"/>
        <c:auto val="1"/>
        <c:lblAlgn val="ctr"/>
        <c:lblOffset val="100"/>
        <c:noMultiLvlLbl val="0"/>
      </c:catAx>
    </c:plotArea>
    <c:legend>
      <c:legendPos val="r"/>
      <c:layout>
        <c:manualLayout>
          <c:xMode val="edge"/>
          <c:yMode val="edge"/>
          <c:x val="0.71365671013718401"/>
          <c:y val="6.5053905527356903E-2"/>
          <c:w val="0.26883011440521598"/>
          <c:h val="0.832635911968863"/>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5569644712543E-2"/>
          <c:y val="3.2047225692441401E-2"/>
          <c:w val="0.57934893830928202"/>
          <c:h val="0.78488857391931099"/>
        </c:manualLayout>
      </c:layout>
      <c:barChart>
        <c:barDir val="col"/>
        <c:grouping val="clustered"/>
        <c:varyColors val="0"/>
        <c:ser>
          <c:idx val="0"/>
          <c:order val="0"/>
          <c:tx>
            <c:strRef>
              <c:f>Промышленность!$M$27</c:f>
              <c:strCache>
                <c:ptCount val="1"/>
                <c:pt idx="0">
                  <c:v>Объем отгруженных товаров собственного производства, выполненных работ и услуг собственными силами, млрд руб.</c:v>
                </c:pt>
              </c:strCache>
            </c:strRef>
          </c:tx>
          <c:spPr>
            <a:solidFill>
              <a:schemeClr val="tx2">
                <a:lumMod val="75000"/>
              </a:schemeClr>
            </a:solidFill>
          </c:spPr>
          <c:invertIfNegative val="0"/>
          <c:dLbls>
            <c:spPr>
              <a:noFill/>
              <a:ln>
                <a:noFill/>
              </a:ln>
              <a:effectLst/>
            </c:spPr>
            <c:txPr>
              <a:bodyPr wrap="square" lIns="38100" tIns="19050" rIns="38100" bIns="19050" anchor="ctr">
                <a:spAutoFit/>
              </a:bodyPr>
              <a:lstStyle/>
              <a:p>
                <a:pPr>
                  <a:defRPr sz="900" b="1">
                    <a:solidFill>
                      <a:schemeClr val="bg1"/>
                    </a:solidFill>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Промышленность!$D$1:$J$1</c:f>
              <c:strCache>
                <c:ptCount val="7"/>
                <c:pt idx="0">
                  <c:v>2011</c:v>
                </c:pt>
                <c:pt idx="1">
                  <c:v>2012</c:v>
                </c:pt>
                <c:pt idx="2">
                  <c:v>2013</c:v>
                </c:pt>
                <c:pt idx="3">
                  <c:v>2014</c:v>
                </c:pt>
                <c:pt idx="4">
                  <c:v>2015</c:v>
                </c:pt>
                <c:pt idx="5">
                  <c:v>2016</c:v>
                </c:pt>
                <c:pt idx="6">
                  <c:v>2017 (оценка)</c:v>
                </c:pt>
              </c:strCache>
            </c:strRef>
          </c:cat>
          <c:val>
            <c:numRef>
              <c:f>Промышленность!$D$24:$J$24</c:f>
              <c:numCache>
                <c:formatCode>0.0</c:formatCode>
                <c:ptCount val="7"/>
                <c:pt idx="0">
                  <c:v>9.5863999999999994</c:v>
                </c:pt>
                <c:pt idx="1">
                  <c:v>7.1477999999999966</c:v>
                </c:pt>
                <c:pt idx="2">
                  <c:v>8.5907999999999998</c:v>
                </c:pt>
                <c:pt idx="3">
                  <c:v>8.8704000000000001</c:v>
                </c:pt>
                <c:pt idx="4">
                  <c:v>2.9190999999999998</c:v>
                </c:pt>
                <c:pt idx="5">
                  <c:v>2.5808</c:v>
                </c:pt>
                <c:pt idx="6">
                  <c:v>2.5493999999999999</c:v>
                </c:pt>
              </c:numCache>
            </c:numRef>
          </c:val>
        </c:ser>
        <c:dLbls>
          <c:showLegendKey val="0"/>
          <c:showVal val="0"/>
          <c:showCatName val="0"/>
          <c:showSerName val="0"/>
          <c:showPercent val="0"/>
          <c:showBubbleSize val="0"/>
        </c:dLbls>
        <c:gapWidth val="29"/>
        <c:overlap val="-25"/>
        <c:axId val="401798208"/>
        <c:axId val="401798768"/>
      </c:barChart>
      <c:lineChart>
        <c:grouping val="standard"/>
        <c:varyColors val="0"/>
        <c:ser>
          <c:idx val="1"/>
          <c:order val="1"/>
          <c:tx>
            <c:strRef>
              <c:f>Промышленность!$M$28</c:f>
              <c:strCache>
                <c:ptCount val="1"/>
                <c:pt idx="0">
                  <c:v>Индекс  производства, % к предыдущему году (правая шкала)</c:v>
                </c:pt>
              </c:strCache>
            </c:strRef>
          </c:tx>
          <c:spPr>
            <a:ln>
              <a:solidFill>
                <a:srgbClr val="67011C"/>
              </a:solidFill>
            </a:ln>
          </c:spPr>
          <c:marker>
            <c:spPr>
              <a:solidFill>
                <a:srgbClr val="67011C"/>
              </a:solidFill>
              <a:ln>
                <a:noFill/>
              </a:ln>
            </c:spPr>
          </c:marker>
          <c:dLbls>
            <c:dLbl>
              <c:idx val="2"/>
              <c:layout>
                <c:manualLayout>
                  <c:x val="-2.6306963067840999E-2"/>
                  <c:y val="-4.394946727301599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2546845451273E-2"/>
                  <c:y val="-4.394946727301599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1045570454272799E-2"/>
                  <c:y val="4.394946727301590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6306963067840999E-2"/>
                  <c:y val="-4.6534730053781601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Промышленность!$D$1:$J$1</c:f>
              <c:strCache>
                <c:ptCount val="7"/>
                <c:pt idx="0">
                  <c:v>2011</c:v>
                </c:pt>
                <c:pt idx="1">
                  <c:v>2012</c:v>
                </c:pt>
                <c:pt idx="2">
                  <c:v>2013</c:v>
                </c:pt>
                <c:pt idx="3">
                  <c:v>2014</c:v>
                </c:pt>
                <c:pt idx="4">
                  <c:v>2015</c:v>
                </c:pt>
                <c:pt idx="5">
                  <c:v>2016</c:v>
                </c:pt>
                <c:pt idx="6">
                  <c:v>2017 (оценка)</c:v>
                </c:pt>
              </c:strCache>
            </c:strRef>
          </c:cat>
          <c:val>
            <c:numRef>
              <c:f>Промышленность!$D$26:$J$26</c:f>
              <c:numCache>
                <c:formatCode>General</c:formatCode>
                <c:ptCount val="7"/>
                <c:pt idx="0">
                  <c:v>95.6</c:v>
                </c:pt>
                <c:pt idx="1">
                  <c:v>104.1</c:v>
                </c:pt>
                <c:pt idx="2">
                  <c:v>110.7</c:v>
                </c:pt>
                <c:pt idx="3">
                  <c:v>97</c:v>
                </c:pt>
                <c:pt idx="4">
                  <c:v>91.4</c:v>
                </c:pt>
                <c:pt idx="5">
                  <c:v>86.5</c:v>
                </c:pt>
                <c:pt idx="6">
                  <c:v>93.3</c:v>
                </c:pt>
              </c:numCache>
            </c:numRef>
          </c:val>
          <c:smooth val="0"/>
        </c:ser>
        <c:dLbls>
          <c:showLegendKey val="0"/>
          <c:showVal val="0"/>
          <c:showCatName val="0"/>
          <c:showSerName val="0"/>
          <c:showPercent val="0"/>
          <c:showBubbleSize val="0"/>
        </c:dLbls>
        <c:marker val="1"/>
        <c:smooth val="0"/>
        <c:axId val="401799888"/>
        <c:axId val="401799328"/>
      </c:lineChart>
      <c:catAx>
        <c:axId val="401798208"/>
        <c:scaling>
          <c:orientation val="minMax"/>
        </c:scaling>
        <c:delete val="0"/>
        <c:axPos val="b"/>
        <c:numFmt formatCode="General" sourceLinked="0"/>
        <c:majorTickMark val="none"/>
        <c:minorTickMark val="none"/>
        <c:tickLblPos val="nextTo"/>
        <c:spPr>
          <a:ln w="31750">
            <a:solidFill>
              <a:schemeClr val="tx1"/>
            </a:solidFill>
          </a:ln>
        </c:spPr>
        <c:crossAx val="401798768"/>
        <c:crosses val="autoZero"/>
        <c:auto val="1"/>
        <c:lblAlgn val="ctr"/>
        <c:lblOffset val="100"/>
        <c:noMultiLvlLbl val="0"/>
      </c:catAx>
      <c:valAx>
        <c:axId val="401798768"/>
        <c:scaling>
          <c:orientation val="minMax"/>
        </c:scaling>
        <c:delete val="0"/>
        <c:axPos val="l"/>
        <c:majorGridlines>
          <c:spPr>
            <a:ln>
              <a:solidFill>
                <a:schemeClr val="bg1">
                  <a:lumMod val="85000"/>
                </a:schemeClr>
              </a:solidFill>
              <a:prstDash val="sysDash"/>
            </a:ln>
          </c:spPr>
        </c:majorGridlines>
        <c:numFmt formatCode="0" sourceLinked="0"/>
        <c:majorTickMark val="none"/>
        <c:minorTickMark val="none"/>
        <c:tickLblPos val="nextTo"/>
        <c:spPr>
          <a:ln w="9525">
            <a:noFill/>
          </a:ln>
        </c:spPr>
        <c:crossAx val="401798208"/>
        <c:crosses val="autoZero"/>
        <c:crossBetween val="between"/>
      </c:valAx>
      <c:valAx>
        <c:axId val="401799328"/>
        <c:scaling>
          <c:orientation val="minMax"/>
        </c:scaling>
        <c:delete val="0"/>
        <c:axPos val="r"/>
        <c:numFmt formatCode="General" sourceLinked="1"/>
        <c:majorTickMark val="out"/>
        <c:minorTickMark val="none"/>
        <c:tickLblPos val="nextTo"/>
        <c:spPr>
          <a:ln>
            <a:noFill/>
          </a:ln>
        </c:spPr>
        <c:crossAx val="401799888"/>
        <c:crosses val="max"/>
        <c:crossBetween val="between"/>
      </c:valAx>
      <c:catAx>
        <c:axId val="401799888"/>
        <c:scaling>
          <c:orientation val="minMax"/>
        </c:scaling>
        <c:delete val="1"/>
        <c:axPos val="b"/>
        <c:numFmt formatCode="General" sourceLinked="0"/>
        <c:majorTickMark val="out"/>
        <c:minorTickMark val="none"/>
        <c:tickLblPos val="nextTo"/>
        <c:crossAx val="401799328"/>
        <c:crosses val="autoZero"/>
        <c:auto val="1"/>
        <c:lblAlgn val="ctr"/>
        <c:lblOffset val="100"/>
        <c:noMultiLvlLbl val="0"/>
      </c:catAx>
    </c:plotArea>
    <c:legend>
      <c:legendPos val="r"/>
      <c:layout>
        <c:manualLayout>
          <c:xMode val="edge"/>
          <c:yMode val="edge"/>
          <c:x val="0.68021204011118597"/>
          <c:y val="8.0726479121073794E-2"/>
          <c:w val="0.29127063129220898"/>
          <c:h val="0.73633623718283003"/>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813231141589302E-2"/>
          <c:y val="4.0752351097178702E-2"/>
          <c:w val="0.555369100443727"/>
          <c:h val="0.82843284871522704"/>
        </c:manualLayout>
      </c:layout>
      <c:barChart>
        <c:barDir val="col"/>
        <c:grouping val="clustered"/>
        <c:varyColors val="0"/>
        <c:ser>
          <c:idx val="0"/>
          <c:order val="0"/>
          <c:tx>
            <c:strRef>
              <c:f>АПК!$A$85</c:f>
              <c:strCache>
                <c:ptCount val="1"/>
                <c:pt idx="0">
                  <c:v>Продукция сельского хозяйства, млн. рублей</c:v>
                </c:pt>
              </c:strCache>
            </c:strRef>
          </c:tx>
          <c:spPr>
            <a:solidFill>
              <a:schemeClr val="tx2">
                <a:lumMod val="75000"/>
              </a:schemeClr>
            </a:solidFill>
          </c:spPr>
          <c:invertIfNegative val="0"/>
          <c:dLbls>
            <c:spPr>
              <a:noFill/>
              <a:ln>
                <a:noFill/>
              </a:ln>
              <a:effectLst/>
            </c:spPr>
            <c:txPr>
              <a:bodyPr wrap="square" lIns="38100" tIns="19050" rIns="38100" bIns="19050" anchor="ctr">
                <a:spAutoFit/>
              </a:bodyPr>
              <a:lstStyle/>
              <a:p>
                <a:pPr>
                  <a:defRPr b="1">
                    <a:solidFill>
                      <a:schemeClr val="bg1"/>
                    </a:solidFill>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АПК!$D$1:$J$1</c:f>
              <c:strCache>
                <c:ptCount val="7"/>
                <c:pt idx="0">
                  <c:v>2011</c:v>
                </c:pt>
                <c:pt idx="1">
                  <c:v>2012</c:v>
                </c:pt>
                <c:pt idx="2">
                  <c:v>2013</c:v>
                </c:pt>
                <c:pt idx="3">
                  <c:v>2014</c:v>
                </c:pt>
                <c:pt idx="4">
                  <c:v>2015</c:v>
                </c:pt>
                <c:pt idx="5">
                  <c:v>2016</c:v>
                </c:pt>
                <c:pt idx="6">
                  <c:v>2017 (оценка)</c:v>
                </c:pt>
              </c:strCache>
            </c:strRef>
          </c:cat>
          <c:val>
            <c:numRef>
              <c:f>АПК!$D$85:$J$85</c:f>
              <c:numCache>
                <c:formatCode>General</c:formatCode>
                <c:ptCount val="7"/>
                <c:pt idx="0">
                  <c:v>170.3</c:v>
                </c:pt>
                <c:pt idx="1">
                  <c:v>200.1</c:v>
                </c:pt>
                <c:pt idx="2">
                  <c:v>241.7</c:v>
                </c:pt>
                <c:pt idx="3">
                  <c:v>274.89999999999998</c:v>
                </c:pt>
                <c:pt idx="4">
                  <c:v>250</c:v>
                </c:pt>
                <c:pt idx="5">
                  <c:v>287.5</c:v>
                </c:pt>
                <c:pt idx="6">
                  <c:v>270</c:v>
                </c:pt>
              </c:numCache>
            </c:numRef>
          </c:val>
        </c:ser>
        <c:dLbls>
          <c:showLegendKey val="0"/>
          <c:showVal val="0"/>
          <c:showCatName val="0"/>
          <c:showSerName val="0"/>
          <c:showPercent val="0"/>
          <c:showBubbleSize val="0"/>
        </c:dLbls>
        <c:gapWidth val="30"/>
        <c:overlap val="-25"/>
        <c:axId val="401802688"/>
        <c:axId val="401803248"/>
      </c:barChart>
      <c:lineChart>
        <c:grouping val="standard"/>
        <c:varyColors val="0"/>
        <c:ser>
          <c:idx val="1"/>
          <c:order val="1"/>
          <c:tx>
            <c:strRef>
              <c:f>АПК!$A$86</c:f>
              <c:strCache>
                <c:ptCount val="1"/>
                <c:pt idx="0">
                  <c:v>Индекс производства продукции сельского хозяйства, % к предыдущему году (правая шкала)</c:v>
                </c:pt>
              </c:strCache>
            </c:strRef>
          </c:tx>
          <c:spPr>
            <a:ln>
              <a:solidFill>
                <a:srgbClr val="67011C"/>
              </a:solidFill>
            </a:ln>
          </c:spPr>
          <c:marker>
            <c:spPr>
              <a:solidFill>
                <a:srgbClr val="67011C"/>
              </a:solidFill>
              <a:ln>
                <a:noFill/>
              </a:ln>
            </c:spPr>
          </c:marker>
          <c:dLbls>
            <c:dLbl>
              <c:idx val="2"/>
              <c:layout>
                <c:manualLayout>
                  <c:x val="-4.03388463089955E-2"/>
                  <c:y val="-5.642633228840129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338846308995598E-2"/>
                  <c:y val="-5.01567398119122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32197522196735E-2"/>
                  <c:y val="8.0550724010094499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solidFill>
                  <a:srgbClr val="67011C"/>
                </a:solid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АПК!$D$1:$J$1</c:f>
              <c:strCache>
                <c:ptCount val="7"/>
                <c:pt idx="0">
                  <c:v>2011</c:v>
                </c:pt>
                <c:pt idx="1">
                  <c:v>2012</c:v>
                </c:pt>
                <c:pt idx="2">
                  <c:v>2013</c:v>
                </c:pt>
                <c:pt idx="3">
                  <c:v>2014</c:v>
                </c:pt>
                <c:pt idx="4">
                  <c:v>2015</c:v>
                </c:pt>
                <c:pt idx="5">
                  <c:v>2016</c:v>
                </c:pt>
                <c:pt idx="6">
                  <c:v>2017 (оценка)</c:v>
                </c:pt>
              </c:strCache>
            </c:strRef>
          </c:cat>
          <c:val>
            <c:numRef>
              <c:f>АПК!$D$86:$J$86</c:f>
              <c:numCache>
                <c:formatCode>General</c:formatCode>
                <c:ptCount val="7"/>
                <c:pt idx="0">
                  <c:v>104.7</c:v>
                </c:pt>
                <c:pt idx="1">
                  <c:v>108.2</c:v>
                </c:pt>
                <c:pt idx="2">
                  <c:v>120.8</c:v>
                </c:pt>
                <c:pt idx="3">
                  <c:v>102.3</c:v>
                </c:pt>
                <c:pt idx="4">
                  <c:v>105.8</c:v>
                </c:pt>
                <c:pt idx="5">
                  <c:v>99</c:v>
                </c:pt>
                <c:pt idx="6">
                  <c:v>96.5</c:v>
                </c:pt>
              </c:numCache>
            </c:numRef>
          </c:val>
          <c:smooth val="0"/>
        </c:ser>
        <c:dLbls>
          <c:showLegendKey val="0"/>
          <c:showVal val="0"/>
          <c:showCatName val="0"/>
          <c:showSerName val="0"/>
          <c:showPercent val="0"/>
          <c:showBubbleSize val="0"/>
        </c:dLbls>
        <c:marker val="1"/>
        <c:smooth val="0"/>
        <c:axId val="401804368"/>
        <c:axId val="401803808"/>
      </c:lineChart>
      <c:catAx>
        <c:axId val="401802688"/>
        <c:scaling>
          <c:orientation val="minMax"/>
        </c:scaling>
        <c:delete val="0"/>
        <c:axPos val="b"/>
        <c:numFmt formatCode="General" sourceLinked="0"/>
        <c:majorTickMark val="none"/>
        <c:minorTickMark val="none"/>
        <c:tickLblPos val="nextTo"/>
        <c:spPr>
          <a:ln w="22225">
            <a:solidFill>
              <a:schemeClr val="tx1"/>
            </a:solidFill>
          </a:ln>
        </c:spPr>
        <c:crossAx val="401803248"/>
        <c:crosses val="autoZero"/>
        <c:auto val="1"/>
        <c:lblAlgn val="ctr"/>
        <c:lblOffset val="100"/>
        <c:noMultiLvlLbl val="0"/>
      </c:catAx>
      <c:valAx>
        <c:axId val="401803248"/>
        <c:scaling>
          <c:orientation val="minMax"/>
        </c:scaling>
        <c:delete val="0"/>
        <c:axPos val="l"/>
        <c:majorGridlines>
          <c:spPr>
            <a:ln>
              <a:solidFill>
                <a:schemeClr val="bg1">
                  <a:lumMod val="75000"/>
                </a:schemeClr>
              </a:solidFill>
              <a:prstDash val="sysDash"/>
            </a:ln>
          </c:spPr>
        </c:majorGridlines>
        <c:numFmt formatCode="General" sourceLinked="1"/>
        <c:majorTickMark val="none"/>
        <c:minorTickMark val="none"/>
        <c:tickLblPos val="nextTo"/>
        <c:spPr>
          <a:ln w="9525">
            <a:noFill/>
          </a:ln>
        </c:spPr>
        <c:crossAx val="401802688"/>
        <c:crosses val="autoZero"/>
        <c:crossBetween val="between"/>
      </c:valAx>
      <c:valAx>
        <c:axId val="401803808"/>
        <c:scaling>
          <c:orientation val="minMax"/>
        </c:scaling>
        <c:delete val="0"/>
        <c:axPos val="r"/>
        <c:numFmt formatCode="General" sourceLinked="1"/>
        <c:majorTickMark val="out"/>
        <c:minorTickMark val="none"/>
        <c:tickLblPos val="nextTo"/>
        <c:spPr>
          <a:ln>
            <a:noFill/>
          </a:ln>
        </c:spPr>
        <c:crossAx val="401804368"/>
        <c:crosses val="max"/>
        <c:crossBetween val="between"/>
      </c:valAx>
      <c:catAx>
        <c:axId val="401804368"/>
        <c:scaling>
          <c:orientation val="minMax"/>
        </c:scaling>
        <c:delete val="1"/>
        <c:axPos val="b"/>
        <c:numFmt formatCode="General" sourceLinked="0"/>
        <c:majorTickMark val="out"/>
        <c:minorTickMark val="none"/>
        <c:tickLblPos val="nextTo"/>
        <c:crossAx val="401803808"/>
        <c:crosses val="autoZero"/>
        <c:auto val="1"/>
        <c:lblAlgn val="ctr"/>
        <c:lblOffset val="100"/>
        <c:noMultiLvlLbl val="0"/>
      </c:catAx>
    </c:plotArea>
    <c:legend>
      <c:legendPos val="r"/>
      <c:layout>
        <c:manualLayout>
          <c:xMode val="edge"/>
          <c:yMode val="edge"/>
          <c:x val="0.66738200887454602"/>
          <c:y val="0.216391034976427"/>
          <c:w val="0.31970956030657499"/>
          <c:h val="0.47317404289981002"/>
        </c:manualLayout>
      </c:layout>
      <c:overlay val="0"/>
    </c:legend>
    <c:plotVisOnly val="1"/>
    <c:dispBlanksAs val="gap"/>
    <c:showDLblsOverMax val="0"/>
  </c:chart>
  <c:spPr>
    <a:ln>
      <a:noFill/>
    </a:ln>
  </c:spPr>
  <c:txPr>
    <a:bodyPr/>
    <a:lstStyle/>
    <a:p>
      <a:pPr>
        <a:defRPr sz="800">
          <a:latin typeface="Times New Roman" charset="0"/>
          <a:ea typeface="Times New Roman" charset="0"/>
          <a:cs typeface="Times New Roman"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121</Pages>
  <Words>44635</Words>
  <Characters>254424</Characters>
  <Application>Microsoft Office Word</Application>
  <DocSecurity>0</DocSecurity>
  <Lines>2120</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Кусков Андрей Сергеевич</cp:lastModifiedBy>
  <cp:revision>3</cp:revision>
  <cp:lastPrinted>2018-01-18T13:54:00Z</cp:lastPrinted>
  <dcterms:created xsi:type="dcterms:W3CDTF">2018-01-23T06:19:00Z</dcterms:created>
  <dcterms:modified xsi:type="dcterms:W3CDTF">2023-05-26T07:25:00Z</dcterms:modified>
</cp:coreProperties>
</file>