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28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5"/>
          <w:highlight w:val="none"/>
          <w:lang w:eastAsia="ru-RU"/>
        </w:rPr>
      </w:r>
      <w:r>
        <w:rPr>
          <w:rFonts w:ascii="PT Serif" w:hAnsi="PT Serif" w:eastAsia="PT Serif" w:cs="PT Serif"/>
          <w:b/>
          <w:position w:val="-1"/>
          <w:sz w:val="28"/>
          <w:szCs w:val="25"/>
          <w:highlight w:val="none"/>
          <w:lang w:eastAsia="ru-RU"/>
        </w:rPr>
        <w:t xml:space="preserve">КУ «Центр обеспечения безопасности жизнедеятельности и призыва граждан на военную службу»</w:t>
      </w:r>
      <w:r>
        <w:rPr>
          <w:rFonts w:ascii="PT Serif" w:hAnsi="PT Serif" w:cs="PT Serif"/>
          <w:b/>
          <w:position w:val="-1"/>
          <w:sz w:val="28"/>
          <w:szCs w:val="25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5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position w:val="-1"/>
          <w:sz w:val="25"/>
          <w:szCs w:val="25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position w:val="-1"/>
          <w:sz w:val="25"/>
          <w:szCs w:val="25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25"/>
          <w:szCs w:val="25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b/>
          <w:position w:val="-1"/>
          <w:sz w:val="25"/>
          <w:szCs w:val="25"/>
          <w:highlight w:val="none"/>
        </w:rPr>
      </w:r>
      <w:r>
        <w:rPr>
          <w:rFonts w:ascii="PT Serif" w:hAnsi="PT Serif" w:cs="PT Serif"/>
          <w:b/>
          <w:position w:val="-1"/>
          <w:sz w:val="25"/>
          <w:szCs w:val="25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b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b/>
          <w:position w:val="-1"/>
          <w:sz w:val="16"/>
          <w:szCs w:val="16"/>
          <w:highlight w:val="none"/>
        </w:rPr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1"/>
        <w:gridCol w:w="5226"/>
      </w:tblGrid>
      <w:tr>
        <w:tblPrEx/>
        <w:trPr/>
        <w:tc>
          <w:tcPr>
            <w:tcW w:w="4643" w:type="dxa"/>
            <w:textDirection w:val="lrTb"/>
            <w:noWrap w:val="false"/>
          </w:tcPr>
          <w:p>
            <w:pPr>
              <w:ind w:hanging="2"/>
              <w:spacing w:after="0" w:line="240" w:lineRule="auto"/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4"/>
                <w:szCs w:val="24"/>
                <w:highlight w:val="none"/>
                <w:lang w:eastAsia="ru-RU"/>
              </w:rPr>
              <w:t xml:space="preserve">[Дата документа]</w:t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</w:p>
          <w:p>
            <w:pPr>
              <w:ind w:hanging="2"/>
              <w:spacing w:after="0" w:line="240" w:lineRule="auto"/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4"/>
                <w:szCs w:val="24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</w:p>
        </w:tc>
        <w:tc>
          <w:tcPr>
            <w:tcW w:w="6130" w:type="dxa"/>
            <w:textDirection w:val="lrTb"/>
            <w:noWrap w:val="false"/>
          </w:tcPr>
          <w:p>
            <w:pPr>
              <w:ind w:hanging="2"/>
              <w:jc w:val="right"/>
              <w:spacing w:after="0" w:line="240" w:lineRule="auto"/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4"/>
                <w:szCs w:val="24"/>
                <w:highlight w:val="none"/>
                <w:lang w:eastAsia="ru-RU"/>
              </w:rPr>
              <w:t xml:space="preserve">[Номер документа]</w:t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ПРОГНОЗ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чрезвычайных ситуаций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на территории Ханты-Мансийского автономного округа - Югры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на период с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14 по 20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 апреля 2025 го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да</w:t>
      </w:r>
      <w:r>
        <w:rPr>
          <w:rFonts w:ascii="PT Serif" w:hAnsi="PT Serif" w:cs="PT Serif"/>
          <w:position w:val="-1"/>
          <w:sz w:val="28"/>
          <w:szCs w:val="28"/>
          <w:highlight w:val="none"/>
          <w:u w:val="singl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  <w:u w:val="single"/>
        </w:rPr>
      </w:r>
    </w:p>
    <w:p>
      <w:pPr>
        <w:ind w:firstLine="567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ind w:firstLine="567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val="en-US" w:eastAsia="ru-RU"/>
        </w:rPr>
        <w:t xml:space="preserve">I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. Оправдываемость оперативных прогнозов за прошедший период и декадного прогноза за прошедший период 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Средняя оправдываемость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(31 марта - 6 апреля 2025 г.)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составила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93,2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%.</w:t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276" w:leader="none"/>
        </w:tabs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val="en-US" w:eastAsia="ru-RU"/>
        </w:rPr>
        <w:t xml:space="preserve">II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. Динамика синоптических процессов на территории ХМАО-Югры: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Температурные отклонения от нормы, в том числе наибольшие отрицательные/положительные отклонения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ind w:left="-2" w:firstLine="703"/>
        <w:jc w:val="both"/>
        <w:spacing w:line="240" w:lineRule="auto"/>
        <w:rPr>
          <w:rFonts w:ascii="PT Serif" w:hAnsi="PT Serif" w:cs="PT Serif"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На период </w:t>
      </w:r>
      <w:r>
        <w:rPr>
          <w:rFonts w:ascii="PT Serif" w:hAnsi="PT Serif" w:eastAsia="PT Serif" w:cs="PT Serif"/>
          <w:i/>
          <w:position w:val="-1"/>
          <w:sz w:val="28"/>
          <w:szCs w:val="28"/>
          <w:highlight w:val="none"/>
          <w:lang w:eastAsia="ru-RU"/>
        </w:rPr>
        <w:t xml:space="preserve">с 14 по 20 апреля 2025 года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 среднесуточная температура воздуха, по автономному округу, прогнозируется от минус 2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°С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 до плюс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4 °С, что на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0,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5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°С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 ниже нормы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и на 1,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7 °С ниже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 значений АППГ. Осадки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в виде снега, мокрого снега и дождя ожидаются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shd w:val="clear" w:color="auto" w:fill="ffffff"/>
          <w:lang w:eastAsia="ru-RU"/>
        </w:rPr>
        <w:t xml:space="preserve">в большинстве дней периода </w:t>
      </w:r>
      <w:r>
        <w:rPr>
          <w:rFonts w:ascii="PT Serif" w:hAnsi="PT Serif" w:eastAsia="PT Serif" w:cs="PT Serif"/>
          <w:i/>
          <w:sz w:val="28"/>
          <w:szCs w:val="28"/>
          <w:highlight w:val="none"/>
        </w:rPr>
        <w:t xml:space="preserve">(рис.1-3).</w:t>
      </w:r>
      <w:r>
        <w:rPr>
          <w:rFonts w:ascii="PT Serif" w:hAnsi="PT Serif" w:cs="PT Serif"/>
          <w:i/>
          <w:sz w:val="28"/>
          <w:szCs w:val="28"/>
          <w:highlight w:val="none"/>
        </w:rPr>
      </w:r>
      <w:r>
        <w:rPr>
          <w:rFonts w:ascii="PT Serif" w:hAnsi="PT Serif" w:cs="PT Serif"/>
          <w:i/>
          <w:sz w:val="28"/>
          <w:szCs w:val="28"/>
          <w:highlight w:val="none"/>
        </w:rPr>
      </w:r>
    </w:p>
    <w:p>
      <w:pPr>
        <w:ind w:hanging="2"/>
        <w:jc w:val="center"/>
        <w:spacing w:after="0" w:line="276" w:lineRule="auto"/>
        <w:rPr>
          <w:rFonts w:ascii="PT Serif" w:hAnsi="PT Serif" w:cs="PT Serif"/>
          <w:b/>
          <w:bCs/>
          <w:i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highlight w:val="none"/>
          <w:lang w:eastAsia="ru-RU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</w:p>
    <w:p>
      <w:pPr>
        <w:ind w:hanging="2"/>
        <w:jc w:val="center"/>
        <w:spacing w:after="0" w:line="276" w:lineRule="auto"/>
        <w:rPr>
          <w:rFonts w:ascii="PT Serif" w:hAnsi="PT Serif" w:cs="PT Serif"/>
          <w:b/>
          <w:bCs/>
          <w:i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highlight w:val="none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6796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17284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4" cy="4267966"/>
                        </a:xfrm>
                        <a:prstGeom prst="rect">
                          <a:avLst/>
                        </a:prstGeom>
                        <a:ln w="6349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336.06pt;mso-wrap-distance-left:0.00pt;mso-wrap-distance-top:0.00pt;mso-wrap-distance-right:0.00pt;mso-wrap-distance-bottom:0.00pt;" strokecolor="#000000" strokeweight="0.50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b/>
          <w:i/>
          <w:sz w:val="24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sz w:val="24"/>
          <w:szCs w:val="28"/>
          <w:highlight w:val="none"/>
        </w:rPr>
        <w:t xml:space="preserve">Рис.1. Прогноз аномалии средней температуры воздуха на предстоящий период*</w:t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</w:p>
    <w:p>
      <w:pPr>
        <w:spacing w:after="0" w:line="276" w:lineRule="auto"/>
        <w:rPr>
          <w:rFonts w:ascii="PT Serif" w:hAnsi="PT Serif" w:cs="PT Serif"/>
          <w:b/>
          <w:bCs/>
          <w:i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bCs/>
          <w:i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267967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93066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3" cy="4267965"/>
                        </a:xfrm>
                        <a:prstGeom prst="rect">
                          <a:avLst/>
                        </a:prstGeom>
                        <a:ln w="6349">
                          <a:solidFill>
                            <a:schemeClr val="tx1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336.06pt;mso-wrap-distance-left:0.00pt;mso-wrap-distance-top:0.00pt;mso-wrap-distance-right:0.00pt;mso-wrap-distance-bottom:0.00pt;" strokecolor="#000000" strokeweight="0.50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b/>
          <w:i/>
          <w:sz w:val="24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sz w:val="24"/>
          <w:szCs w:val="28"/>
          <w:highlight w:val="none"/>
        </w:rPr>
        <w:t xml:space="preserve">Рис.2. Прогноз средней температуры воздуха на предстоящий период*</w:t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b/>
          <w:i/>
          <w:sz w:val="24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sz w:val="24"/>
          <w:szCs w:val="28"/>
          <w:highlight w:val="none"/>
        </w:rPr>
      </w:r>
      <w:r>
        <w:rPr>
          <w:rFonts w:ascii="PT Serif" w:hAnsi="PT Serif" w:cs="PT Serif"/>
          <w:b/>
          <w:i/>
          <w:sz w:val="24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432389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076850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3432389"/>
                        </a:xfrm>
                        <a:prstGeom prst="rect">
                          <a:avLst/>
                        </a:prstGeom>
                        <a:ln w="6349">
                          <a:solidFill>
                            <a:schemeClr val="tx1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70.27pt;mso-wrap-distance-left:0.00pt;mso-wrap-distance-top:0.00pt;mso-wrap-distance-right:0.00pt;mso-wrap-distance-bottom:0.00pt;" strokecolor="#000000" strokeweight="0.50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b/>
          <w:bCs/>
          <w:i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sz w:val="24"/>
          <w:szCs w:val="28"/>
          <w:highlight w:val="none"/>
        </w:rPr>
        <w:t xml:space="preserve">Рис.3. Прогноз среднесуточной температуры воздуха, осадков и порывов ветра </w:t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i/>
          <w:sz w:val="24"/>
          <w:szCs w:val="24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b/>
          <w:i/>
          <w:sz w:val="24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sz w:val="24"/>
          <w:szCs w:val="28"/>
          <w:highlight w:val="none"/>
        </w:rPr>
        <w:t xml:space="preserve">на предстоящий период**</w:t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  <w:r>
        <w:rPr>
          <w:rFonts w:ascii="PT Serif" w:hAnsi="PT Serif" w:cs="PT Serif"/>
          <w:b/>
          <w:i/>
          <w:sz w:val="24"/>
          <w:szCs w:val="28"/>
          <w:highlight w:val="none"/>
        </w:rPr>
      </w:r>
    </w:p>
    <w:p>
      <w:pPr>
        <w:ind w:hanging="2"/>
        <w:jc w:val="center"/>
        <w:spacing w:after="0" w:line="240" w:lineRule="auto"/>
        <w:rPr>
          <w:rFonts w:ascii="PT Serif" w:hAnsi="PT Serif" w:cs="PT Serif"/>
          <w:i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i/>
          <w:sz w:val="16"/>
          <w:szCs w:val="16"/>
          <w:highlight w:val="none"/>
        </w:rPr>
      </w:r>
      <w:r>
        <w:rPr>
          <w:rFonts w:ascii="PT Serif" w:hAnsi="PT Serif" w:cs="PT Serif"/>
          <w:i/>
          <w:sz w:val="16"/>
          <w:szCs w:val="16"/>
          <w:highlight w:val="none"/>
        </w:rPr>
      </w:r>
      <w:r>
        <w:rPr>
          <w:rFonts w:ascii="PT Serif" w:hAnsi="PT Serif" w:cs="PT Serif"/>
          <w:i/>
          <w:sz w:val="16"/>
          <w:szCs w:val="16"/>
          <w:highlight w:val="none"/>
        </w:rPr>
      </w:r>
    </w:p>
    <w:p>
      <w:pPr>
        <w:spacing w:after="0" w:line="240" w:lineRule="auto"/>
        <w:rPr>
          <w:rFonts w:ascii="PT Serif" w:hAnsi="PT Serif" w:cs="PT Serif"/>
          <w:sz w:val="20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* по данным</w:t>
      </w:r>
      <w:r>
        <w:rPr>
          <w:rFonts w:ascii="PT Serif" w:hAnsi="PT Serif" w:eastAsia="PT Serif" w:cs="PT Serif"/>
          <w:i/>
          <w:sz w:val="18"/>
          <w:szCs w:val="21"/>
          <w:highlight w:val="none"/>
          <w:shd w:val="clear" w:color="auto" w:fill="ffffff"/>
        </w:rPr>
        <w:t xml:space="preserve"> </w:t>
      </w: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Г</w:t>
      </w:r>
      <w:r>
        <w:rPr>
          <w:rFonts w:ascii="PT Serif" w:hAnsi="PT Serif" w:eastAsia="PT Serif" w:cs="PT Serif"/>
          <w:i/>
          <w:iCs/>
          <w:sz w:val="20"/>
          <w:szCs w:val="28"/>
          <w:highlight w:val="none"/>
        </w:rPr>
        <w:t xml:space="preserve">идрометцентра России </w:t>
      </w: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(https://www.</w:t>
      </w:r>
      <w:r>
        <w:rPr>
          <w:rFonts w:ascii="PT Serif" w:hAnsi="PT Serif" w:eastAsia="PT Serif" w:cs="PT Serif"/>
          <w:i/>
          <w:sz w:val="20"/>
          <w:szCs w:val="28"/>
          <w:highlight w:val="none"/>
          <w:lang w:val="en-US"/>
        </w:rPr>
        <w:t xml:space="preserve">meteoinfo</w:t>
      </w: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.</w:t>
      </w:r>
      <w:r>
        <w:rPr>
          <w:rFonts w:ascii="PT Serif" w:hAnsi="PT Serif" w:eastAsia="PT Serif" w:cs="PT Serif"/>
          <w:i/>
          <w:sz w:val="20"/>
          <w:szCs w:val="28"/>
          <w:highlight w:val="none"/>
          <w:lang w:val="en-US"/>
        </w:rPr>
        <w:t xml:space="preserve">ru</w:t>
      </w: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)</w:t>
      </w:r>
      <w:r>
        <w:rPr>
          <w:rFonts w:ascii="PT Serif" w:hAnsi="PT Serif" w:eastAsia="PT Serif" w:cs="PT Serif"/>
          <w:i/>
          <w:iCs/>
          <w:sz w:val="20"/>
          <w:szCs w:val="28"/>
          <w:highlight w:val="none"/>
        </w:rPr>
        <w:t xml:space="preserve">;</w:t>
      </w:r>
      <w:r>
        <w:rPr>
          <w:rFonts w:ascii="PT Serif" w:hAnsi="PT Serif" w:cs="PT Serif"/>
          <w:sz w:val="20"/>
          <w:szCs w:val="28"/>
          <w:highlight w:val="none"/>
        </w:rPr>
      </w:r>
      <w:r>
        <w:rPr>
          <w:rFonts w:ascii="PT Serif" w:hAnsi="PT Serif" w:cs="PT Serif"/>
          <w:sz w:val="20"/>
          <w:szCs w:val="28"/>
          <w:highlight w:val="none"/>
        </w:rPr>
      </w:r>
    </w:p>
    <w:p>
      <w:pPr>
        <w:spacing w:after="0" w:line="240" w:lineRule="auto"/>
        <w:rPr>
          <w:rFonts w:ascii="PT Serif" w:hAnsi="PT Serif" w:cs="PT Serif"/>
          <w:i/>
          <w:sz w:val="20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i/>
          <w:sz w:val="20"/>
          <w:szCs w:val="28"/>
          <w:highlight w:val="none"/>
        </w:rPr>
        <w:t xml:space="preserve">**по данным источника - погодный сервис Ventusky (https://www.ventusky.com).</w:t>
      </w:r>
      <w:r>
        <w:rPr>
          <w:rFonts w:ascii="PT Serif" w:hAnsi="PT Serif" w:cs="PT Serif"/>
          <w:i/>
          <w:sz w:val="20"/>
          <w:szCs w:val="28"/>
          <w:highlight w:val="none"/>
        </w:rPr>
      </w:r>
      <w:r>
        <w:rPr>
          <w:rFonts w:ascii="PT Serif" w:hAnsi="PT Serif" w:cs="PT Serif"/>
          <w:i/>
          <w:sz w:val="20"/>
          <w:szCs w:val="28"/>
          <w:highlight w:val="none"/>
        </w:rPr>
      </w:r>
    </w:p>
    <w:p>
      <w:pPr>
        <w:pStyle w:val="874"/>
        <w:contextualSpacing/>
        <w:ind w:left="0" w:firstLine="0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i/>
          <w:color w:val="auto"/>
          <w:spacing w:val="0"/>
          <w:sz w:val="24"/>
          <w:szCs w:val="24"/>
          <w:highlight w:val="none"/>
        </w:rPr>
      </w:pPr>
      <w:r>
        <w:rPr>
          <w:rFonts w:ascii="PT Serif" w:hAnsi="PT Serif" w:eastAsia="PT Serif" w:cs="PT Serif"/>
          <w:b w:val="0"/>
          <w:bCs w:val="0"/>
          <w:i/>
          <w:color w:val="auto"/>
          <w:spacing w:val="0"/>
          <w:sz w:val="24"/>
          <w:szCs w:val="24"/>
          <w:highlight w:val="none"/>
        </w:rPr>
      </w:r>
      <w:r>
        <w:rPr>
          <w:rFonts w:ascii="PT Serif" w:hAnsi="PT Serif" w:cs="PT Serif"/>
          <w:b w:val="0"/>
          <w:bCs w:val="0"/>
          <w:i/>
          <w:color w:val="auto"/>
          <w:spacing w:val="0"/>
          <w:sz w:val="24"/>
          <w:szCs w:val="24"/>
          <w:highlight w:val="none"/>
        </w:rPr>
      </w:r>
      <w:r>
        <w:rPr>
          <w:rFonts w:ascii="PT Serif" w:hAnsi="PT Serif" w:cs="PT Serif"/>
          <w:b w:val="0"/>
          <w:bCs w:val="0"/>
          <w:i/>
          <w:color w:val="auto"/>
          <w:spacing w:val="0"/>
          <w:sz w:val="24"/>
          <w:szCs w:val="24"/>
          <w:highlight w:val="none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Прогноз сильного ветра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i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16 апреля местами на территории Березовского и Белоярского районов ХМАО – Югры ожидается сильный ветер порывами до 19 м/с</w:t>
      </w:r>
      <w:r>
        <w:rPr>
          <w:rFonts w:ascii="PT Serif" w:hAnsi="PT Serif" w:cs="PT Serif"/>
          <w:b w:val="0"/>
          <w:bCs w:val="0"/>
          <w:i w:val="0"/>
          <w:iCs w:val="0"/>
          <w:color w:val="auto"/>
          <w:spacing w:val="0"/>
          <w:highlight w:val="none"/>
        </w:rPr>
        <w:t xml:space="preserve">.</w:t>
      </w:r>
      <w:r>
        <w:rPr>
          <w:rFonts w:ascii="PT Serif" w:hAnsi="PT Serif" w:cs="PT Serif"/>
          <w:b w:val="0"/>
          <w:bCs w:val="0"/>
          <w:i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i w:val="0"/>
          <w:color w:val="auto"/>
          <w:spacing w:val="0"/>
          <w:highlight w:val="none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Прогноз сильных осадков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color w:val="auto"/>
          <w:position w:val="-1"/>
          <w:highlight w:val="none"/>
        </w:rPr>
      </w:pPr>
      <w:r>
        <w:rPr>
          <w:rFonts w:ascii="PT Serif" w:hAnsi="PT Serif" w:eastAsia="PT Serif" w:cs="PT Serif"/>
          <w:color w:val="auto"/>
          <w:highlight w:val="none"/>
          <w:lang w:eastAsia="zh-CN" w:bidi="hi-IN"/>
        </w:rPr>
        <w:t xml:space="preserve">Сильные осадки, </w:t>
      </w:r>
      <w:r>
        <w:rPr>
          <w:rFonts w:ascii="PT Serif" w:hAnsi="PT Serif" w:eastAsia="PT Serif" w:cs="PT Serif"/>
          <w:b w:val="0"/>
          <w:color w:val="auto"/>
          <w:highlight w:val="none"/>
          <w:lang w:eastAsia="zh-CN" w:bidi="hi-IN"/>
        </w:rPr>
        <w:t xml:space="preserve">на территории ХМАО – Югры, </w:t>
      </w:r>
      <w:r>
        <w:rPr>
          <w:rFonts w:ascii="PT Serif" w:hAnsi="PT Serif" w:eastAsia="PT Serif" w:cs="PT Serif"/>
          <w:b w:val="0"/>
          <w:color w:val="auto"/>
          <w:highlight w:val="none"/>
        </w:rPr>
        <w:t xml:space="preserve">на предстоящий период</w:t>
      </w:r>
      <w:r>
        <w:rPr>
          <w:rFonts w:ascii="PT Serif" w:hAnsi="PT Serif" w:eastAsia="PT Serif" w:cs="PT Serif"/>
          <w:i/>
          <w:color w:val="auto"/>
          <w:highlight w:val="none"/>
        </w:rPr>
        <w:t xml:space="preserve"> – не прогнозируются.</w:t>
      </w:r>
      <w:r>
        <w:rPr>
          <w:rFonts w:ascii="PT Serif" w:hAnsi="PT Serif" w:cs="PT Serif"/>
          <w:color w:val="auto"/>
          <w:position w:val="-1"/>
          <w:highlight w:val="none"/>
        </w:rPr>
      </w:r>
      <w:r>
        <w:rPr>
          <w:rFonts w:ascii="PT Serif" w:hAnsi="PT Serif" w:cs="PT Serif"/>
          <w:color w:val="auto"/>
          <w:position w:val="-1"/>
          <w:highlight w:val="none"/>
        </w:rPr>
      </w:r>
    </w:p>
    <w:p>
      <w:pPr>
        <w:numPr>
          <w:ilvl w:val="0"/>
          <w:numId w:val="2"/>
        </w:numPr>
        <w:contextualSpacing/>
        <w:ind w:left="0" w:firstLine="709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Прогноз опасных и неблагоприятных явлений погоды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9"/>
        <w:ind w:firstLine="708"/>
        <w:jc w:val="both"/>
        <w:rPr>
          <w:rFonts w:ascii="PT Serif" w:hAnsi="PT Serif" w:cs="PT Serif"/>
          <w:b/>
          <w:b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position w:val="-1"/>
          <w:sz w:val="28"/>
          <w:szCs w:val="28"/>
          <w:highlight w:val="none"/>
          <w:lang w:eastAsia="ru-RU"/>
        </w:rPr>
        <w:t xml:space="preserve">ОЯ – </w:t>
      </w:r>
      <w:r>
        <w:rPr>
          <w:rFonts w:ascii="PT Serif" w:hAnsi="PT Serif" w:eastAsia="PT Serif" w:cs="PT Serif"/>
          <w:b/>
          <w:bCs/>
          <w:sz w:val="28"/>
          <w:szCs w:val="28"/>
          <w:highlight w:val="none"/>
        </w:rPr>
        <w:t xml:space="preserve">не прогнозируется.</w:t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color w:val="000000" w:themeColor="text1"/>
          <w:spacing w:val="0"/>
          <w:highlight w:val="none"/>
        </w:rPr>
      </w:pPr>
      <w:r>
        <w:rPr>
          <w:rFonts w:ascii="PT Serif" w:hAnsi="PT Serif" w:eastAsia="PT Serif" w:cs="PT Serif"/>
          <w:color w:val="auto"/>
          <w:spacing w:val="0"/>
          <w:position w:val="-1"/>
          <w:highlight w:val="none"/>
          <w:lang w:eastAsia="ru-RU"/>
        </w:rPr>
        <w:t xml:space="preserve">НЯ –</w:t>
      </w:r>
      <w:r>
        <w:rPr>
          <w:rFonts w:ascii="PT Serif" w:hAnsi="PT Serif" w:eastAsia="PT Serif" w:cs="PT Serif" w:eastAsiaTheme="minorHAnsi"/>
          <w:color w:val="auto"/>
          <w:spacing w:val="0"/>
          <w:highlight w:val="none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16 апреля местами на территории Березовского и Белоярского районов ХМАО – Югры ожидается сильный ветер порывами до 19 м/с</w:t>
      </w:r>
      <w:r>
        <w:rPr>
          <w:rFonts w:ascii="PT Serif" w:hAnsi="PT Serif" w:cs="PT Serif"/>
          <w:b w:val="0"/>
          <w:bCs w:val="0"/>
          <w:i w:val="0"/>
          <w:iCs w:val="0"/>
          <w:color w:val="auto"/>
          <w:spacing w:val="0"/>
          <w:highlight w:val="none"/>
        </w:rPr>
        <w:t xml:space="preserve">.</w:t>
      </w:r>
      <w:r>
        <w:rPr>
          <w:rFonts w:ascii="PT Serif" w:hAnsi="PT Serif" w:cs="PT Serif"/>
          <w:color w:val="000000" w:themeColor="text1"/>
          <w:spacing w:val="0"/>
          <w:highlight w:val="none"/>
        </w:rPr>
      </w:r>
      <w:r>
        <w:rPr>
          <w:rFonts w:ascii="PT Serif" w:hAnsi="PT Serif" w:cs="PT Serif"/>
          <w:color w:val="000000" w:themeColor="text1"/>
          <w:spacing w:val="0"/>
          <w:highlight w:val="none"/>
        </w:rPr>
      </w:r>
    </w:p>
    <w:p>
      <w:pPr>
        <w:pStyle w:val="874"/>
        <w:contextualSpacing/>
        <w:ind w:left="0" w:firstLine="0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Cs w:val="0"/>
          <w:color w:val="auto"/>
          <w:spacing w:val="0"/>
          <w:sz w:val="24"/>
          <w:szCs w:val="24"/>
          <w:highlight w:val="none"/>
        </w:rPr>
      </w:pPr>
      <w:r>
        <w:rPr>
          <w:rFonts w:ascii="PT Serif" w:hAnsi="PT Serif" w:eastAsia="PT Serif" w:cs="PT Serif"/>
          <w:bCs w:val="0"/>
          <w:color w:val="auto"/>
          <w:spacing w:val="0"/>
          <w:sz w:val="24"/>
          <w:szCs w:val="24"/>
          <w:highlight w:val="none"/>
        </w:rPr>
      </w:r>
      <w:r>
        <w:rPr>
          <w:rFonts w:ascii="PT Serif" w:hAnsi="PT Serif" w:cs="PT Serif"/>
          <w:bCs w:val="0"/>
          <w:color w:val="auto"/>
          <w:spacing w:val="0"/>
          <w:sz w:val="24"/>
          <w:szCs w:val="24"/>
          <w:highlight w:val="none"/>
        </w:rPr>
      </w:r>
      <w:r>
        <w:rPr>
          <w:rFonts w:ascii="PT Serif" w:hAnsi="PT Serif" w:cs="PT Serif"/>
          <w:bCs w:val="0"/>
          <w:color w:val="auto"/>
          <w:spacing w:val="0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val="en-US" w:eastAsia="ru-RU"/>
        </w:rPr>
        <w:t xml:space="preserve">III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. Гидрологическая обстановка на территории ХМАО-Югры: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pStyle w:val="872"/>
        <w:numPr>
          <w:ilvl w:val="0"/>
          <w:numId w:val="11"/>
        </w:numPr>
        <w:ind w:hanging="11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Установление ледостава и вскрытие рек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На всех реках ХМАО-Югры – ледостав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, на отдельных участках наблюдаются весенние ледовые явления: р. Обь (Нижневартовск) – вода на льду; р. Обь (Сургут) – ледостав с полыньями; р. Вах (Большетархово), р. Большой Юган (Таурово) – наледь; р. Вандрас (Салым) – закраины.</w:t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</w:p>
    <w:p>
      <w:pPr>
        <w:pStyle w:val="872"/>
        <w:numPr>
          <w:ilvl w:val="0"/>
          <w:numId w:val="11"/>
        </w:numPr>
        <w:ind w:hanging="11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Уровневый режим основных рек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Колебания уровней воды на реках автономного округа: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Обь изменения уровней за сутки от +1 до +7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Иртыш изменения уровней за сутки от +4 до +11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Конда изменения уровней за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сутки от 0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до +10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Северная Сосьва изменение уровня за сутки 1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Большой Юган изменения уровней за сутки от +3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до +18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Вах изменения уровней за сутки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от +1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до +2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см;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4"/>
        <w:numPr>
          <w:ilvl w:val="0"/>
          <w:numId w:val="0"/>
        </w:numPr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eastAsia="PT Serif" w:cs="PT Serif"/>
          <w:b w:val="0"/>
          <w:color w:val="auto"/>
          <w:spacing w:val="0"/>
          <w:highlight w:val="none"/>
          <w:lang w:eastAsia="zh-CN" w:bidi="hi-IN"/>
          <w14:ligatures w14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р. Ляпин изменение уровня за сутки 0 см.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</w:r>
    </w:p>
    <w:p>
      <w:pPr>
        <w:pStyle w:val="872"/>
        <w:numPr>
          <w:ilvl w:val="0"/>
          <w:numId w:val="11"/>
        </w:numPr>
        <w:ind w:hanging="11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Толщина льда на водоемах, отклонения от нормы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pStyle w:val="874"/>
        <w:contextualSpacing/>
        <w:ind w:left="0" w:firstLine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Толщина льда, на реках ХМАО-Югры, составляет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от 40 до 66 см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(52-110 % норм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ы) - таблица 1.</w:t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</w:p>
    <w:p>
      <w:pPr>
        <w:pStyle w:val="874"/>
        <w:contextualSpacing/>
        <w:ind w:left="709" w:firstLine="0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</w:p>
    <w:p>
      <w:pPr>
        <w:ind w:right="-1" w:hanging="2"/>
        <w:jc w:val="center"/>
        <w:spacing w:after="0" w:line="240" w:lineRule="auto"/>
        <w:rPr>
          <w:rFonts w:ascii="PT Serif" w:hAnsi="PT Serif" w:cs="PT Serif"/>
          <w:b/>
          <w:position w:val="-1"/>
          <w:sz w:val="24"/>
          <w:szCs w:val="24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position w:val="-1"/>
          <w:sz w:val="24"/>
          <w:szCs w:val="24"/>
          <w:highlight w:val="none"/>
          <w:lang w:eastAsia="ru-RU"/>
        </w:rPr>
        <w:t xml:space="preserve">Таблица 1. </w:t>
      </w:r>
      <w:r>
        <w:rPr>
          <w:rFonts w:ascii="PT Serif" w:hAnsi="PT Serif" w:eastAsia="PT Serif" w:cs="PT Serif"/>
          <w:b/>
          <w:position w:val="-1"/>
          <w:sz w:val="24"/>
          <w:szCs w:val="24"/>
          <w:highlight w:val="none"/>
          <w:lang w:eastAsia="ru-RU"/>
        </w:rPr>
        <w:t xml:space="preserve">Фактические данные по толщине льда на территории ХМАО*</w:t>
      </w:r>
      <w:r>
        <w:rPr>
          <w:rFonts w:ascii="PT Serif" w:hAnsi="PT Serif" w:cs="PT Serif"/>
          <w:b/>
          <w:position w:val="-1"/>
          <w:sz w:val="24"/>
          <w:szCs w:val="24"/>
          <w:highlight w:val="none"/>
        </w:rPr>
      </w:r>
      <w:r>
        <w:rPr>
          <w:rFonts w:ascii="PT Serif" w:hAnsi="PT Serif" w:cs="PT Serif"/>
          <w:b/>
          <w:position w:val="-1"/>
          <w:sz w:val="24"/>
          <w:szCs w:val="24"/>
          <w:highlight w:val="none"/>
        </w:rPr>
      </w:r>
    </w:p>
    <w:tbl>
      <w:tblPr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767"/>
        <w:gridCol w:w="1889"/>
        <w:gridCol w:w="1087"/>
        <w:gridCol w:w="1560"/>
        <w:gridCol w:w="1559"/>
      </w:tblGrid>
      <w:tr>
        <w:tblPrEx/>
        <w:trPr>
          <w:jc w:val="center"/>
          <w:trHeight w:val="1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textDirection w:val="lrTb"/>
            <w:noWrap w:val="false"/>
          </w:tcPr>
          <w:p>
            <w:pPr>
              <w:ind w:left="-1" w:right="-1" w:firstLine="35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Субъект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right="-1" w:firstLine="41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Река, водоем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right="-1" w:hanging="1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Пункт измерения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right="-1" w:firstLine="38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Фактическая </w:t>
            </w: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толщина льда, см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right="-1" w:hanging="1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Толщина льда на аналогичный </w:t>
            </w: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период прошлого года, см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right="-1" w:hanging="1"/>
              <w:jc w:val="center"/>
              <w:spacing w:after="0" w:line="240" w:lineRule="auto"/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Среднемноголетняя толщина льда </w:t>
            </w: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на этот период, см</w:t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b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vMerge w:val="restart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ХМАО-Югра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Иртыш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65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sz w:val="20"/>
                <w:highlight w:val="none"/>
              </w:rPr>
              <w:t xml:space="preserve">63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80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Обь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Октябрьское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66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64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73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Конда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Чантырья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40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70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77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Северная Сосьва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Березово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65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79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59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7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89" w:type="dxa"/>
            <w:vAlign w:val="center"/>
            <w:vMerge w:val="continue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  <w:outlineLvl w:val="0"/>
            </w:pP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position w:val="-1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67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Обь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9" w:type="dxa"/>
            <w:vAlign w:val="center"/>
            <w:textDirection w:val="lrTb"/>
            <w:noWrap w:val="false"/>
          </w:tcPr>
          <w:p>
            <w:pPr>
              <w:ind w:left="-1" w:hanging="1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Белогорье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87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60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68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left="-1" w:hanging="1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outlineLvl w:val="0"/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-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</w:tbl>
    <w:p>
      <w:pPr>
        <w:ind w:right="-1" w:firstLine="709"/>
        <w:spacing w:after="0" w:line="240" w:lineRule="auto"/>
        <w:rPr>
          <w:rFonts w:ascii="PT Serif" w:hAnsi="PT Serif" w:cs="PT Serif"/>
          <w:position w:val="-1"/>
          <w:sz w:val="20"/>
          <w:szCs w:val="20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0"/>
          <w:szCs w:val="20"/>
          <w:highlight w:val="none"/>
          <w:lang w:eastAsia="ru-RU"/>
        </w:rPr>
        <w:t xml:space="preserve">*данные по толщине льда обновляются 10, 20, 30, (31) числа каждого месяца.</w:t>
      </w:r>
      <w:r>
        <w:rPr>
          <w:rFonts w:ascii="PT Serif" w:hAnsi="PT Serif" w:cs="PT Serif"/>
          <w:position w:val="-1"/>
          <w:sz w:val="20"/>
          <w:szCs w:val="20"/>
          <w:highlight w:val="none"/>
        </w:rPr>
      </w:r>
      <w:r>
        <w:rPr>
          <w:rFonts w:ascii="PT Serif" w:hAnsi="PT Serif" w:cs="PT Serif"/>
          <w:position w:val="-1"/>
          <w:sz w:val="20"/>
          <w:szCs w:val="20"/>
          <w:highlight w:val="none"/>
        </w:rPr>
      </w:r>
    </w:p>
    <w:p>
      <w:pPr>
        <w:pStyle w:val="874"/>
        <w:contextualSpacing/>
        <w:ind w:left="709" w:firstLine="0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pPr>
      <w:r>
        <w:rPr>
          <w:rFonts w:ascii="PT Serif" w:hAnsi="PT Serif" w:eastAsia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sz w:val="16"/>
          <w:szCs w:val="16"/>
          <w:highlight w:val="none"/>
        </w:rPr>
      </w:r>
    </w:p>
    <w:p>
      <w:pPr>
        <w:pStyle w:val="872"/>
        <w:numPr>
          <w:ilvl w:val="0"/>
          <w:numId w:val="11"/>
        </w:numPr>
        <w:ind w:left="0" w:firstLine="709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Толщина льда на затороопасных участках рек и аномалий толщины льда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numPr>
          <w:ilvl w:val="0"/>
          <w:numId w:val="0"/>
        </w:numPr>
        <w:ind w:firstLine="709"/>
        <w:jc w:val="both"/>
        <w:spacing w:after="0" w:line="240" w:lineRule="auto"/>
        <w:tabs>
          <w:tab w:val="left" w:pos="180" w:leader="none"/>
        </w:tabs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Толщина льда на затороопасных участках рек – в пределах нормы</w:t>
      </w:r>
      <w:r>
        <w:rPr>
          <w:rFonts w:ascii="PT Serif" w:hAnsi="PT Serif" w:eastAsia="PT Serif" w:cs="PT Serif"/>
          <w:b w:val="0"/>
          <w:bCs w:val="0"/>
          <w:color w:val="auto"/>
          <w:spacing w:val="0"/>
          <w:highlight w:val="none"/>
          <w:lang w:eastAsia="zh-CN" w:bidi="hi-IN"/>
        </w:rPr>
        <w:t xml:space="preserve">.</w:t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  <w:r>
        <w:rPr>
          <w:rFonts w:ascii="PT Serif" w:hAnsi="PT Serif" w:cs="PT Serif"/>
          <w:b w:val="0"/>
          <w:bCs w:val="0"/>
          <w:color w:val="auto"/>
          <w:spacing w:val="0"/>
          <w:highlight w:val="none"/>
        </w:rPr>
      </w:r>
    </w:p>
    <w:p>
      <w:pPr>
        <w:pStyle w:val="874"/>
        <w:contextualSpacing/>
        <w:ind w:left="709" w:hanging="709"/>
        <w:jc w:val="both"/>
        <w:spacing w:before="0" w:after="0" w:line="240" w:lineRule="auto"/>
        <w:tabs>
          <w:tab w:val="left" w:pos="1134" w:leader="none"/>
        </w:tabs>
        <w:rPr>
          <w:rFonts w:ascii="PT Serif" w:hAnsi="PT Serif" w:cs="PT Serif"/>
          <w:bCs w:val="0"/>
          <w:i/>
          <w:color w:val="auto"/>
          <w:spacing w:val="0"/>
          <w:sz w:val="16"/>
          <w:szCs w:val="16"/>
          <w:highlight w:val="none"/>
        </w:rPr>
      </w:pPr>
      <w:r>
        <w:rPr>
          <w:rFonts w:ascii="PT Serif" w:hAnsi="PT Serif" w:eastAsia="PT Serif" w:cs="PT Serif"/>
          <w:bCs w:val="0"/>
          <w:i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Cs w:val="0"/>
          <w:i/>
          <w:color w:val="auto"/>
          <w:spacing w:val="0"/>
          <w:sz w:val="16"/>
          <w:szCs w:val="16"/>
          <w:highlight w:val="none"/>
        </w:rPr>
      </w:r>
      <w:r>
        <w:rPr>
          <w:rFonts w:ascii="PT Serif" w:hAnsi="PT Serif" w:cs="PT Serif"/>
          <w:bCs w:val="0"/>
          <w:i/>
          <w:color w:val="auto"/>
          <w:spacing w:val="0"/>
          <w:sz w:val="16"/>
          <w:szCs w:val="16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val="en-US" w:eastAsia="ru-RU"/>
        </w:rPr>
        <w:t xml:space="preserve">IV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. Параметры прогноза возможных ЧС на территории ХМАО-Югры на предстоящую неделю: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pStyle w:val="872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</w:rPr>
        <w:t xml:space="preserve">Прогноз солнечной активности и геомагнитной обстановки </w:t>
      </w:r>
      <w:r>
        <w:rPr>
          <w:rFonts w:ascii="PT Serif" w:hAnsi="PT Serif" w:eastAsia="PT Serif" w:cs="PT Serif"/>
          <w:i/>
          <w:sz w:val="28"/>
          <w:szCs w:val="28"/>
          <w:highlight w:val="none"/>
        </w:rPr>
        <w:t xml:space="preserve">(по данным ИЗМИРАН). </w:t>
      </w:r>
      <w:r>
        <w:rPr>
          <w:rFonts w:ascii="PT Serif" w:hAnsi="PT Serif" w:cs="PT Serif"/>
          <w:i/>
          <w:sz w:val="28"/>
          <w:szCs w:val="28"/>
          <w:highlight w:val="none"/>
        </w:rPr>
      </w:r>
      <w:r>
        <w:rPr>
          <w:rFonts w:ascii="PT Serif" w:hAnsi="PT Serif" w:cs="PT Serif"/>
          <w:i/>
          <w:sz w:val="28"/>
          <w:szCs w:val="28"/>
          <w:highlight w:val="none"/>
        </w:rPr>
      </w:r>
    </w:p>
    <w:p>
      <w:pPr>
        <w:pStyle w:val="872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</w:rPr>
        <w:t xml:space="preserve">Ожидается, что с </w:t>
      </w:r>
      <w:r>
        <w:rPr>
          <w:rFonts w:ascii="PT Serif" w:hAnsi="PT Serif" w:eastAsia="PT Serif" w:cs="PT Serif"/>
          <w:i/>
          <w:iCs/>
          <w:sz w:val="28"/>
          <w:szCs w:val="28"/>
          <w:highlight w:val="none"/>
        </w:rPr>
        <w:t xml:space="preserve">14</w:t>
      </w:r>
      <w:r>
        <w:rPr>
          <w:rFonts w:ascii="PT Serif" w:hAnsi="PT Serif" w:eastAsia="PT Serif" w:cs="PT Serif"/>
          <w:i/>
          <w:iCs/>
          <w:sz w:val="28"/>
          <w:szCs w:val="28"/>
          <w:highlight w:val="none"/>
        </w:rPr>
        <w:t xml:space="preserve"> </w:t>
      </w:r>
      <w:r>
        <w:rPr>
          <w:rFonts w:ascii="PT Serif" w:hAnsi="PT Serif" w:eastAsia="PT Serif" w:cs="PT Serif"/>
          <w:i/>
          <w:iCs/>
          <w:sz w:val="28"/>
          <w:szCs w:val="28"/>
          <w:highlight w:val="none"/>
        </w:rPr>
        <w:t xml:space="preserve">по 20 апреля 2025 года</w:t>
      </w:r>
      <w:r>
        <w:rPr>
          <w:rFonts w:ascii="PT Serif" w:hAnsi="PT Serif" w:eastAsia="PT Serif" w:cs="PT Serif"/>
          <w:sz w:val="28"/>
          <w:szCs w:val="28"/>
          <w:highlight w:val="none"/>
        </w:rPr>
        <w:t xml:space="preserve"> солнечная активность ожидается на низком и среднем</w:t>
      </w:r>
      <w:r>
        <w:rPr>
          <w:rFonts w:ascii="PT Serif" w:hAnsi="PT Serif" w:eastAsia="PT Serif" w:cs="PT Serif"/>
          <w:sz w:val="28"/>
          <w:szCs w:val="28"/>
          <w:highlight w:val="none"/>
        </w:rPr>
        <w:t xml:space="preserve"> уровне, а геомагнитная обстановка будет меняться от возмущенной до</w:t>
      </w:r>
      <w:r>
        <w:rPr>
          <w:rFonts w:ascii="PT Serif" w:hAnsi="PT Serif" w:eastAsia="PT Serif" w:cs="PT Serif"/>
          <w:sz w:val="28"/>
          <w:szCs w:val="28"/>
          <w:highlight w:val="none"/>
        </w:rPr>
        <w:t xml:space="preserve"> спокойной. 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numPr>
          <w:ilvl w:val="0"/>
          <w:numId w:val="7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Прогноз рисков возникновения ЧС и происшествий, обусловленных провалами людей и техники под лед водоемов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180" w:leader="none"/>
        </w:tabs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Прогнозируется возникновение несчастных случаев по факту нарушения правил охраны жизни людей на водных объектах (</w:t>
      </w:r>
      <w:r>
        <w:rPr>
          <w:rFonts w:ascii="PT Serif" w:hAnsi="PT Serif" w:eastAsia="PT Serif" w:cs="PT Serif"/>
          <w:i/>
          <w:sz w:val="28"/>
          <w:szCs w:val="28"/>
          <w:highlight w:val="none"/>
          <w:lang w:eastAsia="zh-CN" w:bidi="hi-IN"/>
        </w:rPr>
        <w:t xml:space="preserve">возможны происшествия, обусловленные п</w:t>
      </w:r>
      <w:r>
        <w:rPr>
          <w:rFonts w:ascii="PT Serif" w:hAnsi="PT Serif" w:eastAsia="PT Serif" w:cs="PT Serif"/>
          <w:i/>
          <w:sz w:val="28"/>
          <w:szCs w:val="28"/>
          <w:highlight w:val="none"/>
          <w:lang w:eastAsia="zh-CN" w:bidi="hi-IN"/>
        </w:rPr>
        <w:t xml:space="preserve">ровалами людей и техники под лед водоемов).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 Основная причина – несоблюдение техники безопасности при нахождении на водных объектах территории округа,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несанкционированный выход людей и техники на лед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numPr>
          <w:ilvl w:val="0"/>
          <w:numId w:val="7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b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Прогноз рисков возникновения ЧС и происшествий</w:t>
      </w: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, обусловленных авариями на электроэнергетических системах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Возникновение аварий, способных достигнуть масштабов ЧС локального уровня и выше,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не прогнозируется.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eastAsia="PT Serif" w:cs="PT Serif"/>
          <w:position w:val="-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</w:r>
      <w:r>
        <w:rPr>
          <w:rFonts w:ascii="PT Serif" w:hAnsi="PT Serif" w:eastAsia="PT Serif" w:cs="PT Serif"/>
          <w:b/>
          <w:bCs/>
          <w:position w:val="-1"/>
          <w:sz w:val="28"/>
          <w:szCs w:val="28"/>
          <w:highlight w:val="none"/>
          <w:lang w:eastAsia="ru-RU"/>
        </w:rPr>
        <w:t xml:space="preserve">Увеличивается вероятн</w:t>
      </w:r>
      <w:r>
        <w:rPr>
          <w:rFonts w:ascii="PT Serif" w:hAnsi="PT Serif" w:eastAsia="PT Serif" w:cs="PT Serif"/>
          <w:b/>
          <w:bCs/>
          <w:position w:val="-1"/>
          <w:sz w:val="28"/>
          <w:szCs w:val="28"/>
          <w:highlight w:val="none"/>
          <w:lang w:eastAsia="ru-RU"/>
        </w:rPr>
        <w:t xml:space="preserve">ость возникновения происшествий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, связанных с повреждением (обрывом) ЛЭП и линий связи, обрушением слабо укрепленных, широкоформатных, ветхих и рекламных конструкций; нарушениями в системе ЖКХ, работе всех видов транспорта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(</w:t>
      </w:r>
      <w:r>
        <w:rPr>
          <w:rFonts w:ascii="PT Serif" w:hAnsi="PT Serif" w:eastAsia="PT Serif" w:cs="PT Serif"/>
          <w:b/>
          <w:bCs/>
          <w:i/>
          <w:iCs/>
          <w:position w:val="-1"/>
          <w:sz w:val="28"/>
          <w:szCs w:val="28"/>
          <w:highlight w:val="none"/>
          <w:lang w:eastAsia="ru-RU"/>
        </w:rPr>
        <w:t xml:space="preserve">Источник ЧС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порывы ветра, 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гололёдно-изморозевые явления,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налипание мокрого снега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)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.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14:ligatures w14:val="none"/>
        </w:rPr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14:ligatures w14:val="none"/>
        </w:rPr>
      </w:r>
    </w:p>
    <w:p>
      <w:pPr>
        <w:numPr>
          <w:ilvl w:val="0"/>
          <w:numId w:val="7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b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Прогноз рисков возникновения ЧС и происшествий, обусловленных авариями на коммунальных системах жизнеобеспечения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Возникновение аварий, способных достигнуть масштабов ЧС локального уровня и выше,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не прогнозируется.</w:t>
      </w:r>
      <w:r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</w:r>
      <w:r>
        <w:rPr>
          <w:rFonts w:ascii="PT Serif" w:hAnsi="PT Serif" w:eastAsia="PT Serif" w:cs="PT Serif"/>
          <w:b/>
          <w:bCs/>
          <w:position w:val="-1"/>
          <w:sz w:val="28"/>
          <w:szCs w:val="28"/>
          <w:highlight w:val="none"/>
          <w:lang w:eastAsia="ru-RU"/>
        </w:rPr>
        <w:t xml:space="preserve">Увеличивается вероятность возникновения происшествий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,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связанных с авариями на коммунальных системах жизнеобеспечения на территории автономного округа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(</w:t>
      </w:r>
      <w:r>
        <w:rPr>
          <w:rFonts w:ascii="PT Serif" w:hAnsi="PT Serif" w:eastAsia="PT Serif" w:cs="PT Serif"/>
          <w:b/>
          <w:bCs/>
          <w:i/>
          <w:iCs/>
          <w:position w:val="-1"/>
          <w:sz w:val="28"/>
          <w:szCs w:val="28"/>
          <w:highlight w:val="none"/>
          <w:lang w:eastAsia="ru-RU"/>
        </w:rPr>
        <w:t xml:space="preserve">Источник ЧС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 – 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сильный ветер</w:t>
      </w:r>
      <w:r>
        <w:rPr>
          <w:rFonts w:ascii="PT Serif" w:hAnsi="PT Serif" w:eastAsia="PT Serif" w:cs="PT Serif"/>
          <w:i/>
          <w:iCs/>
          <w:position w:val="-1"/>
          <w:sz w:val="28"/>
          <w:szCs w:val="28"/>
          <w:highlight w:val="none"/>
          <w:lang w:eastAsia="ru-RU"/>
        </w:rPr>
        <w:t xml:space="preserve">, высокая степень износа основных фондов жизнеобеспечения, неквалифицированные действия обслуживающего персонала, отказ оборудования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)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.</w:t>
      </w:r>
      <w:r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position w:val="-1"/>
          <w:sz w:val="28"/>
          <w:szCs w:val="28"/>
          <w:highlight w:val="none"/>
        </w:rPr>
      </w:r>
    </w:p>
    <w:p>
      <w:pPr>
        <w:numPr>
          <w:ilvl w:val="0"/>
          <w:numId w:val="7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Прогноз рисков увеличения количества техн</w:t>
      </w: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огенных пожаров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ind w:left="1" w:firstLine="703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Техногенные пожары в зданиях и сооружениях жилого, социально-бытового и культурного назначения, на территории автономного округа ожидаются около среднемноголетних значений </w:t>
      </w:r>
      <w:r>
        <w:rPr>
          <w:rFonts w:ascii="PT Serif" w:hAnsi="PT Serif" w:eastAsia="PT Serif" w:cs="PT Serif"/>
          <w:i/>
          <w:position w:val="-1"/>
          <w:sz w:val="28"/>
          <w:szCs w:val="28"/>
          <w:highlight w:val="none"/>
          <w:lang w:eastAsia="ru-RU"/>
        </w:rPr>
        <w:t xml:space="preserve">(таблица 2).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3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Всего на территории автономного округа прогнозируется возникновение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35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-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45 техногенных пожаров.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firstLine="361"/>
        <w:jc w:val="center"/>
        <w:spacing w:after="0" w:line="240" w:lineRule="auto"/>
        <w:rPr>
          <w:rFonts w:ascii="PT Serif" w:hAnsi="PT Serif" w:cs="PT Serif"/>
          <w:b/>
          <w:i/>
          <w:position w:val="-1"/>
          <w:sz w:val="16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16"/>
          <w:szCs w:val="24"/>
          <w:highlight w:val="none"/>
        </w:rPr>
      </w:r>
      <w:r>
        <w:rPr>
          <w:rFonts w:ascii="PT Serif" w:hAnsi="PT Serif" w:cs="PT Serif"/>
          <w:b/>
          <w:i/>
          <w:position w:val="-1"/>
          <w:sz w:val="16"/>
          <w:szCs w:val="24"/>
          <w:highlight w:val="none"/>
        </w:rPr>
      </w:r>
      <w:r>
        <w:rPr>
          <w:rFonts w:ascii="PT Serif" w:hAnsi="PT Serif" w:cs="PT Serif"/>
          <w:b/>
          <w:i/>
          <w:position w:val="-1"/>
          <w:sz w:val="16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24"/>
          <w:szCs w:val="24"/>
          <w:highlight w:val="none"/>
          <w:lang w:eastAsia="ru-RU"/>
        </w:rPr>
        <w:t xml:space="preserve">Таблица 2. Среднемноголетнее количество техногенных пожаров </w:t>
      </w:r>
      <w:r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</w:r>
      <w:r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position w:val="-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24"/>
          <w:szCs w:val="24"/>
          <w:highlight w:val="none"/>
          <w:lang w:eastAsia="ru-RU"/>
        </w:rPr>
        <w:t xml:space="preserve">за неделю в апреле, за период 2020-2024 гг.</w:t>
      </w:r>
      <w:r>
        <w:rPr>
          <w:rFonts w:ascii="PT Serif" w:hAnsi="PT Serif" w:cs="PT Serif"/>
          <w:position w:val="-1"/>
          <w:sz w:val="24"/>
          <w:szCs w:val="24"/>
          <w:highlight w:val="none"/>
        </w:rPr>
      </w:r>
      <w:r>
        <w:rPr>
          <w:rFonts w:ascii="PT Serif" w:hAnsi="PT Serif" w:cs="PT Serif"/>
          <w:position w:val="-1"/>
          <w:sz w:val="24"/>
          <w:szCs w:val="24"/>
          <w:highlight w:val="none"/>
        </w:rPr>
      </w:r>
    </w:p>
    <w:tbl>
      <w:tblPr>
        <w:tblW w:w="7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478"/>
        <w:gridCol w:w="2168"/>
        <w:gridCol w:w="1478"/>
      </w:tblGrid>
      <w:tr>
        <w:tblPrEx/>
        <w:trPr>
          <w:jc w:val="center"/>
          <w:trHeight w:val="64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highlight w:val="none"/>
              </w:rPr>
            </w:r>
            <w:bookmarkStart w:id="0" w:name="OLE_LINK2"/>
            <w:r>
              <w:rPr>
                <w:rFonts w:ascii="PT Serif" w:hAnsi="PT Serif" w:eastAsia="PT Serif" w:cs="PT Serif"/>
                <w:highlight w:val="none"/>
              </w:rPr>
            </w:r>
            <w:bookmarkStart w:id="1" w:name="OLE_LINK3"/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Районы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количество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ind w:left="-3" w:hanging="16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Городские округа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ind w:left="-10" w:hanging="50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количество</w:t>
            </w:r>
            <w:bookmarkEnd w:id="0"/>
            <w:r>
              <w:rPr>
                <w:rFonts w:ascii="PT Serif" w:hAnsi="PT Serif" w:eastAsia="PT Serif" w:cs="PT Serif"/>
                <w:highlight w:val="none"/>
              </w:rPr>
            </w:r>
            <w:bookmarkEnd w:id="1"/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21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Белоярский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Когалым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Березовский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Лангепас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Кондинский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3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Мегион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Нефтеюганский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Нефтеюганск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Нижневартовский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Нижневартовск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Октябрьский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Нягань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213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Советский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Югорск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Сургутский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3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Пыть-Ях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Ханты-Мансийский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Радужный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39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Сургут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9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57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Урай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70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</w:tbl>
    <w:p>
      <w:pPr>
        <w:contextualSpacing/>
        <w:ind w:left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sz w:val="16"/>
          <w:szCs w:val="16"/>
          <w:highlight w:val="none"/>
        </w:rPr>
      </w:pPr>
      <w:r>
        <w:rPr>
          <w:rFonts w:ascii="PT Serif" w:hAnsi="PT Serif" w:eastAsia="PT Serif" w:cs="PT Serif"/>
          <w:sz w:val="16"/>
          <w:szCs w:val="16"/>
          <w:highlight w:val="none"/>
        </w:rPr>
      </w:r>
      <w:r>
        <w:rPr>
          <w:rFonts w:ascii="PT Serif" w:hAnsi="PT Serif" w:cs="PT Serif"/>
          <w:sz w:val="16"/>
          <w:szCs w:val="16"/>
          <w:highlight w:val="none"/>
        </w:rPr>
      </w:r>
      <w:r>
        <w:rPr>
          <w:rFonts w:ascii="PT Serif" w:hAnsi="PT Serif" w:cs="PT Serif"/>
          <w:sz w:val="16"/>
          <w:szCs w:val="16"/>
          <w:highlight w:val="none"/>
        </w:rPr>
      </w:r>
    </w:p>
    <w:p>
      <w:pPr>
        <w:numPr>
          <w:ilvl w:val="0"/>
          <w:numId w:val="7"/>
        </w:numPr>
        <w:contextualSpacing/>
        <w:ind w:left="0"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  <w:tab w:val="left" w:pos="1134" w:leader="none"/>
        </w:tabs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ru-RU"/>
        </w:rPr>
        <w:t xml:space="preserve">Прогноз рисков возникновения ЧС и происшествий, обусловленных обрушением конструкций зданий и сооружений</w:t>
      </w:r>
      <w:r>
        <w:rPr>
          <w:rFonts w:ascii="PT Serif" w:hAnsi="PT Serif" w:eastAsia="PT Serif" w:cs="PT Serif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  <w:tab w:val="left" w:pos="1134" w:leader="none"/>
        </w:tabs>
        <w:rPr>
          <w:rFonts w:ascii="PT Serif" w:hAnsi="PT Serif" w:cs="PT Serif"/>
          <w:b/>
          <w:bCs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</w:rPr>
        <w:t xml:space="preserve">Высота снега, по территории автономного округа, составляет 2-71 см (21-90 % нормы). Снеговая нагрузка – в переделах нормы. Возникновения рисков, связанных </w:t>
      </w:r>
      <w:r>
        <w:rPr>
          <w:rFonts w:ascii="PT Serif" w:hAnsi="PT Serif" w:eastAsia="PT Serif" w:cs="PT Serif"/>
          <w:i/>
          <w:sz w:val="28"/>
          <w:szCs w:val="28"/>
          <w:highlight w:val="none"/>
        </w:rPr>
        <w:t xml:space="preserve">с </w:t>
      </w:r>
      <w:r>
        <w:rPr>
          <w:rFonts w:ascii="PT Serif" w:hAnsi="PT Serif" w:eastAsia="PT Serif" w:cs="PT Serif"/>
          <w:i/>
          <w:sz w:val="28"/>
          <w:szCs w:val="28"/>
          <w:highlight w:val="none"/>
          <w:lang w:eastAsia="ru-RU"/>
        </w:rPr>
        <w:t xml:space="preserve">обрушением конструкций зданий и сооружений</w:t>
      </w:r>
      <w:r>
        <w:rPr>
          <w:rFonts w:ascii="PT Serif" w:hAnsi="PT Serif" w:eastAsia="PT Serif" w:cs="PT Serif"/>
          <w:sz w:val="28"/>
          <w:szCs w:val="28"/>
          <w:highlight w:val="none"/>
        </w:rPr>
        <w:t xml:space="preserve">, на предстоящий период</w:t>
      </w:r>
      <w:r>
        <w:rPr>
          <w:rFonts w:ascii="PT Serif" w:hAnsi="PT Serif" w:eastAsia="PT Serif" w:cs="PT Serif"/>
          <w:i/>
          <w:sz w:val="28"/>
          <w:szCs w:val="28"/>
          <w:highlight w:val="none"/>
        </w:rPr>
        <w:t xml:space="preserve"> – </w:t>
      </w:r>
      <w:r>
        <w:rPr>
          <w:rFonts w:ascii="PT Serif" w:hAnsi="PT Serif" w:eastAsia="PT Serif" w:cs="PT Serif"/>
          <w:b/>
          <w:i/>
          <w:sz w:val="28"/>
          <w:szCs w:val="28"/>
          <w:highlight w:val="none"/>
        </w:rPr>
        <w:t xml:space="preserve">не прогнозируется. </w:t>
      </w:r>
      <w:r>
        <w:rPr>
          <w:rFonts w:ascii="PT Serif" w:hAnsi="PT Serif" w:cs="PT Serif"/>
          <w:b/>
          <w:bCs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i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134" w:leader="none"/>
        </w:tabs>
        <w:rPr>
          <w:rFonts w:ascii="PT Serif" w:hAnsi="PT Serif" w:cs="PT Serif"/>
          <w:sz w:val="28"/>
          <w:highlight w:val="none"/>
        </w:rPr>
      </w:pPr>
      <w:r>
        <w:rPr>
          <w:rFonts w:ascii="PT Serif" w:hAnsi="PT Serif" w:eastAsia="PT Serif" w:cs="PT Serif"/>
          <w:sz w:val="28"/>
          <w:highlight w:val="none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</w:t>
      </w:r>
      <w:r>
        <w:rPr>
          <w:rFonts w:ascii="PT Serif" w:hAnsi="PT Serif" w:eastAsia="PT Serif" w:cs="PT Serif"/>
          <w:sz w:val="28"/>
          <w:highlight w:val="none"/>
        </w:rPr>
        <w:t xml:space="preserve">ш зданий и очистке придомовых территорий, в целях снижения риска травмирования и гибели людей, а также повреждения припаркованных транспортных средств выполняются соответствующие работы, всего  с начала сезона очищено</w:t>
      </w:r>
      <w:r>
        <w:rPr>
          <w:rFonts w:ascii="PT Serif" w:hAnsi="PT Serif" w:eastAsia="PT Serif" w:cs="PT Serif"/>
          <w:sz w:val="28"/>
          <w:highlight w:val="none"/>
        </w:rPr>
        <w:t xml:space="preserve"> 19 200 </w:t>
      </w:r>
      <w:r>
        <w:rPr>
          <w:rFonts w:ascii="PT Serif" w:hAnsi="PT Serif" w:eastAsia="PT Serif" w:cs="PT Serif"/>
          <w:sz w:val="28"/>
          <w:highlight w:val="none"/>
        </w:rPr>
        <w:t xml:space="preserve"> крыш и вывезено </w:t>
      </w:r>
      <w:r>
        <w:rPr>
          <w:rFonts w:ascii="Times New Roman" w:hAnsi="Times New Roman"/>
          <w:color w:val="000000"/>
          <w:sz w:val="28"/>
          <w:highlight w:val="none"/>
        </w:rPr>
        <w:t xml:space="preserve">1 334 902</w:t>
      </w:r>
      <w:r>
        <w:rPr>
          <w:rFonts w:ascii="PT Serif" w:hAnsi="PT Serif" w:eastAsia="PT Serif" w:cs="PT Serif"/>
          <w:sz w:val="28"/>
          <w:highlight w:val="none"/>
        </w:rPr>
        <w:t xml:space="preserve"> </w:t>
      </w:r>
      <w:r>
        <w:rPr>
          <w:rFonts w:ascii="PT Serif" w:hAnsi="PT Serif" w:eastAsia="PT Serif" w:cs="PT Serif"/>
          <w:sz w:val="28"/>
          <w:highlight w:val="none"/>
        </w:rPr>
        <w:t xml:space="preserve"> м</w:t>
      </w:r>
      <w:r>
        <w:rPr>
          <w:rFonts w:ascii="PT Serif" w:hAnsi="PT Serif" w:eastAsia="PT Serif" w:cs="PT Serif"/>
          <w:sz w:val="28"/>
          <w:highlight w:val="none"/>
          <w:vertAlign w:val="superscript"/>
        </w:rPr>
        <w:t xml:space="preserve">3</w:t>
      </w:r>
      <w:r>
        <w:rPr>
          <w:rFonts w:ascii="PT Serif" w:hAnsi="PT Serif" w:eastAsia="PT Serif" w:cs="PT Serif"/>
          <w:sz w:val="28"/>
          <w:highlight w:val="none"/>
        </w:rPr>
        <w:t xml:space="preserve"> сн</w:t>
      </w:r>
      <w:r>
        <w:rPr>
          <w:rFonts w:ascii="PT Serif" w:hAnsi="PT Serif" w:eastAsia="PT Serif" w:cs="PT Serif"/>
          <w:sz w:val="28"/>
          <w:highlight w:val="none"/>
        </w:rPr>
        <w:t xml:space="preserve">ега.</w:t>
      </w:r>
      <w:r>
        <w:rPr>
          <w:rFonts w:ascii="PT Serif" w:hAnsi="PT Serif" w:cs="PT Serif"/>
          <w:sz w:val="28"/>
          <w:highlight w:val="none"/>
        </w:rPr>
      </w:r>
      <w:r>
        <w:rPr>
          <w:rFonts w:ascii="PT Serif" w:hAnsi="PT Serif" w:cs="PT Serif"/>
          <w:sz w:val="28"/>
          <w:highlight w:val="none"/>
        </w:rPr>
      </w:r>
    </w:p>
    <w:p>
      <w:pPr>
        <w:pStyle w:val="872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b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</w:rPr>
        <w:t xml:space="preserve"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 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Чрезвычайные ситуации, обусловленные дорожно-транспортными происшествиями, 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не прогнозируются.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ДТП н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а автодорогах автономного округа, ожидаются несколько выше среднемноголетних значений </w:t>
      </w:r>
      <w:r>
        <w:rPr>
          <w:rFonts w:ascii="PT Serif" w:hAnsi="PT Serif" w:eastAsia="PT Serif" w:cs="PT Serif"/>
          <w:i/>
          <w:position w:val="-1"/>
          <w:sz w:val="28"/>
          <w:szCs w:val="28"/>
          <w:highlight w:val="none"/>
          <w:lang w:eastAsia="ru-RU"/>
        </w:rPr>
        <w:t xml:space="preserve">(таблица 3).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На автотрассах округа прогнозируется возникновение 5-10 ДТП, наиболее опасные участки: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Федеральные автодороги: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- 743 км Р-404 – район н.п. Каркатеевы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- 773-774 км Р-404 – район н.п. Пойковский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- 19-20 км «Подъезд к г. Сургут» 2 км от поворота на п. Сингапай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(Нефтеюганский район).</w:t>
      </w:r>
      <w:r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Территориальные автодороги: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- 57 км г. Сургут – г. Нефтеюганск (Сургутский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- 6 км г. Нефтеюганск – левый берег р. Обь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- 10 км г. Нижневартовск – г. Радужный (Нижневартовский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Общее количество: 6 опасных участков дорог в 3 районах округа.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Cs/>
          <w:position w:val="-1"/>
          <w:sz w:val="28"/>
          <w:szCs w:val="24"/>
          <w:highlight w:val="none"/>
          <w:lang w:eastAsia="ru-RU"/>
        </w:rPr>
        <w:t xml:space="preserve">В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сего на территории округа прогнозируется возникновение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 15-25 ДТП.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ind w:firstLine="542"/>
        <w:jc w:val="center"/>
        <w:spacing w:after="0" w:line="240" w:lineRule="auto"/>
        <w:rPr>
          <w:rFonts w:ascii="PT Serif" w:hAnsi="PT Serif" w:cs="PT Serif"/>
          <w:b/>
          <w:i/>
          <w:position w:val="-1"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b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b/>
          <w:i/>
          <w:position w:val="-1"/>
          <w:sz w:val="16"/>
          <w:szCs w:val="16"/>
          <w:highlight w:val="none"/>
        </w:rPr>
      </w:r>
    </w:p>
    <w:p>
      <w:pPr>
        <w:jc w:val="center"/>
        <w:spacing w:after="0" w:line="240" w:lineRule="auto"/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24"/>
          <w:szCs w:val="24"/>
          <w:highlight w:val="none"/>
          <w:lang w:eastAsia="ru-RU"/>
        </w:rPr>
        <w:t xml:space="preserve">Таблица 3. Среднемноголетнее количество ДТП за неделю в апреле, </w:t>
      </w:r>
      <w:r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</w:r>
      <w:r>
        <w:rPr>
          <w:rFonts w:ascii="PT Serif" w:hAnsi="PT Serif" w:cs="PT Serif"/>
          <w:b/>
          <w:i/>
          <w:position w:val="-1"/>
          <w:sz w:val="24"/>
          <w:szCs w:val="24"/>
          <w:highlight w:val="none"/>
        </w:rPr>
      </w:r>
    </w:p>
    <w:p>
      <w:pPr>
        <w:ind w:firstLine="542"/>
        <w:jc w:val="center"/>
        <w:spacing w:after="0" w:line="240" w:lineRule="auto"/>
        <w:rPr>
          <w:rFonts w:ascii="PT Serif" w:hAnsi="PT Serif" w:cs="PT Serif"/>
          <w:position w:val="-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i/>
          <w:position w:val="-1"/>
          <w:sz w:val="24"/>
          <w:szCs w:val="24"/>
          <w:highlight w:val="none"/>
          <w:lang w:eastAsia="ru-RU"/>
        </w:rPr>
        <w:t xml:space="preserve">за период 2020-2024 гг.</w:t>
      </w:r>
      <w:r>
        <w:rPr>
          <w:rFonts w:ascii="PT Serif" w:hAnsi="PT Serif" w:cs="PT Serif"/>
          <w:position w:val="-1"/>
          <w:sz w:val="24"/>
          <w:szCs w:val="24"/>
          <w:highlight w:val="none"/>
        </w:rPr>
      </w:r>
      <w:r>
        <w:rPr>
          <w:rFonts w:ascii="PT Serif" w:hAnsi="PT Serif" w:cs="PT Serif"/>
          <w:position w:val="-1"/>
          <w:sz w:val="24"/>
          <w:szCs w:val="24"/>
          <w:highlight w:val="none"/>
        </w:rPr>
      </w:r>
    </w:p>
    <w:tbl>
      <w:tblPr>
        <w:tblW w:w="74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478"/>
        <w:gridCol w:w="2168"/>
        <w:gridCol w:w="1478"/>
      </w:tblGrid>
      <w:tr>
        <w:tblPrEx/>
        <w:trPr>
          <w:jc w:val="center"/>
          <w:trHeight w:val="64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Районы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количество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ind w:left="-3" w:hanging="16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Городские округа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ind w:left="-10" w:hanging="50"/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b/>
                <w:position w:val="-1"/>
                <w:sz w:val="20"/>
                <w:szCs w:val="20"/>
                <w:highlight w:val="none"/>
                <w:lang w:eastAsia="ru-RU"/>
              </w:rPr>
              <w:t xml:space="preserve">количество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Нефтеюганский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Нефтеюганск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Нижневартовский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Нижневартовск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</w:trPr>
        <w:tc>
          <w:tcPr>
            <w:tcW w:w="227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Сургутский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Ханты-Мансийск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  <w:tr>
        <w:tblPrEx/>
        <w:trPr>
          <w:jc w:val="center"/>
          <w:trHeight w:val="139"/>
        </w:trPr>
        <w:tc>
          <w:tcPr>
            <w:tcW w:w="22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W w:w="21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  <w:lang w:eastAsia="ru-RU"/>
              </w:rPr>
              <w:t xml:space="preserve">Сургут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pPr>
            <w:r>
              <w:rPr>
                <w:rFonts w:ascii="PT Serif" w:hAnsi="PT Serif" w:eastAsia="PT Serif" w:cs="PT Serif"/>
                <w:position w:val="-1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  <w:r>
              <w:rPr>
                <w:rFonts w:ascii="PT Serif" w:hAnsi="PT Serif" w:cs="PT Serif"/>
                <w:position w:val="-1"/>
                <w:sz w:val="20"/>
                <w:szCs w:val="20"/>
                <w:highlight w:val="none"/>
              </w:rPr>
            </w:r>
          </w:p>
        </w:tc>
      </w:tr>
    </w:tbl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16"/>
          <w:szCs w:val="1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position w:val="-1"/>
          <w:sz w:val="16"/>
          <w:szCs w:val="16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Основные причины: погодные условия, нарушение ПДД и скоростного режима.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pStyle w:val="872"/>
        <w:numPr>
          <w:ilvl w:val="0"/>
          <w:numId w:val="7"/>
        </w:numPr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b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</w:rPr>
        <w:t xml:space="preserve">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Увеличение ДТП в утренние и вечерние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 часы в связи с туманами на автодорогах автономного округа, ожидаются преимущественно в Сургутском и Нижневартовском районах, в том числе на наиболее опасных участках автодорог: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Федеральные автодороги: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- 743 км Р-404 – район н.п. Каркатеевы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- 773-774 км Р-404 – район н.п. Пойковский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- 19-20 км «Подъезд к г. Сургут» 2 км от поворота на п. Сингапай</w:t>
      </w: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 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(Нефтеюганский район).</w:t>
      </w:r>
      <w:r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16"/>
          <w:szCs w:val="16"/>
          <w:highlight w:val="none"/>
          <w:u w:val="single"/>
        </w:rPr>
      </w:r>
    </w:p>
    <w:p>
      <w:pPr>
        <w:ind w:left="1" w:firstLine="708"/>
        <w:jc w:val="both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u w:val="single"/>
          <w:lang w:eastAsia="ru-RU"/>
        </w:rPr>
        <w:t xml:space="preserve">Территориальные автодороги: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  <w:u w:val="singl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- 57 км г. С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ургут – г. Нефтеюганск (Сургутский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- 6 км г. Нефтеюганск – левый берег р. Обь (Нефтеюганский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8"/>
        <w:jc w:val="both"/>
        <w:spacing w:after="0" w:line="240" w:lineRule="auto"/>
        <w:tabs>
          <w:tab w:val="left" w:pos="567" w:leader="none"/>
          <w:tab w:val="left" w:pos="4007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- 10 км г. Нижневартовск – г. Радужный (Нижневартовский район);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pStyle w:val="872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position w:val="-1"/>
          <w:sz w:val="28"/>
          <w:szCs w:val="28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Общее количество: 6 опасных участков дорог в 3 районах округа.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pStyle w:val="872"/>
        <w:ind w:left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PT Serif" w:hAnsi="PT Serif" w:cs="PT Serif"/>
          <w:sz w:val="16"/>
          <w:szCs w:val="16"/>
          <w:highlight w:val="none"/>
        </w:rPr>
      </w:pPr>
      <w:r>
        <w:rPr>
          <w:rFonts w:ascii="PT Serif" w:hAnsi="PT Serif" w:eastAsia="PT Serif" w:cs="PT Serif"/>
          <w:sz w:val="16"/>
          <w:szCs w:val="16"/>
          <w:highlight w:val="none"/>
        </w:rPr>
      </w:r>
      <w:r>
        <w:rPr>
          <w:rFonts w:ascii="PT Serif" w:hAnsi="PT Serif" w:cs="PT Serif"/>
          <w:sz w:val="16"/>
          <w:szCs w:val="16"/>
          <w:highlight w:val="none"/>
        </w:rPr>
      </w:r>
      <w:r>
        <w:rPr>
          <w:rFonts w:ascii="PT Serif" w:hAnsi="PT Serif" w:cs="PT Serif"/>
          <w:sz w:val="16"/>
          <w:szCs w:val="16"/>
          <w:highlight w:val="none"/>
        </w:rPr>
      </w:r>
    </w:p>
    <w:p>
      <w:pPr>
        <w:ind w:firstLine="567"/>
        <w:jc w:val="center"/>
        <w:spacing w:after="0" w:line="240" w:lineRule="auto"/>
        <w:rPr>
          <w:rFonts w:ascii="PT Serif" w:hAnsi="PT Serif" w:cs="PT Serif"/>
          <w:b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PT Serif" w:hAnsi="PT Serif" w:eastAsia="PT Serif" w:cs="PT Serif"/>
          <w:b/>
          <w:position w:val="-1"/>
          <w:sz w:val="28"/>
          <w:szCs w:val="28"/>
          <w:highlight w:val="none"/>
          <w:lang w:eastAsia="ru-RU"/>
        </w:rPr>
        <w:t xml:space="preserve">V. Рекомендации по реагированию на прогноз</w:t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position w:val="-1"/>
          <w:sz w:val="28"/>
          <w:szCs w:val="28"/>
          <w:highlight w:val="none"/>
        </w:rPr>
      </w:r>
    </w:p>
    <w:p>
      <w:pPr>
        <w:contextualSpacing/>
        <w:ind w:firstLine="565"/>
        <w:jc w:val="both"/>
        <w:spacing w:after="0" w:line="240" w:lineRule="auto"/>
        <w:rPr>
          <w:rFonts w:ascii="PT Serif" w:hAnsi="PT Serif" w:cs="PT Serif"/>
          <w:b/>
          <w:i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Для повышения эффективности работы по сбору и обмену информацией, с целью создания условий для оперативного реагирования сил и средств на возможные происшествия и чрезвычайные ситуации, территориальным органам фед</w:t>
      </w: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еральных органов исполнительной власти, органам исполнительной власти ХМАО - Югры, главам администраций муниципальных образований, начальникам пожарно-спасательных отрядов Федеральной противопожарной службы Главного управления МЧС России по ХМАО - Югре, ор</w:t>
      </w:r>
      <w:r>
        <w:rPr>
          <w:rFonts w:ascii="PT Serif" w:hAnsi="PT Serif" w:eastAsia="PT Serif" w:cs="PT Serif"/>
          <w:b/>
          <w:i/>
          <w:sz w:val="28"/>
          <w:szCs w:val="28"/>
          <w:highlight w:val="none"/>
          <w:lang w:eastAsia="zh-CN" w:bidi="hi-IN"/>
        </w:rPr>
        <w:t xml:space="preserve">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 рекомендуется:</w:t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sz w:val="28"/>
          <w:szCs w:val="28"/>
          <w:highlight w:val="none"/>
        </w:rPr>
      </w:r>
    </w:p>
    <w:p>
      <w:pPr>
        <w:contextualSpacing/>
        <w:ind w:firstLine="565"/>
        <w:jc w:val="both"/>
        <w:spacing w:after="0" w:line="240" w:lineRule="auto"/>
        <w:rPr>
          <w:rFonts w:ascii="PT Serif" w:hAnsi="PT Serif" w:cs="PT Serif"/>
          <w:b/>
          <w:bCs/>
          <w:i/>
          <w:iCs/>
          <w:sz w:val="16"/>
          <w:szCs w:val="16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16"/>
          <w:szCs w:val="16"/>
          <w:highlight w:val="none"/>
        </w:rPr>
      </w:r>
      <w:r>
        <w:rPr>
          <w:rFonts w:ascii="PT Serif" w:hAnsi="PT Serif" w:cs="PT Serif"/>
          <w:b/>
          <w:bCs/>
          <w:i/>
          <w:iCs/>
          <w:sz w:val="16"/>
          <w:szCs w:val="16"/>
          <w:highlight w:val="none"/>
        </w:rPr>
      </w:r>
      <w:r>
        <w:rPr>
          <w:rFonts w:ascii="PT Serif" w:hAnsi="PT Serif" w:cs="PT Serif"/>
          <w:b/>
          <w:bCs/>
          <w:i/>
          <w:iCs/>
          <w:sz w:val="16"/>
          <w:szCs w:val="16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ar-SA" w:bidi="hi-IN"/>
        </w:rPr>
        <w:t xml:space="preserve">1. В целях предотвращения возникнове</w:t>
      </w: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ar-SA" w:bidi="hi-IN"/>
        </w:rPr>
        <w:t xml:space="preserve">ния техногенных пожаров</w:t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Вести регулярную пропаганду во всех видах СМИ о соблюдении правил пожарной безопасности. Организовать проведение профилактических рейдов по обследованию жилых домов с вручением обучающих и пропагандистских материалов по пожарной без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опасности и проведением противопожарных инструктажей под роспись. Провести работу по запрету использования населением самодельных и несертифицированных электронагревательных приборов, бытовых газовых, керосиновых, бензиновых и других устройств. Обеспечить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контроль над своевременным обследованием и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профилактическим ремонтом газового оборудования и сетей газоснабжения, противопожарным состоянием в жилых домах и объектах массового пребывания людей. Обеспечить контроль за состоянием полигонов твердых коммунальн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ых отходов (свалок), в том числе несанкционированных, не допуская открытого горения и задымления.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ar-SA" w:bidi="hi-IN"/>
        </w:rPr>
        <w:t xml:space="preserve">2. В целях предотвращения аварийных и чрезвычайных ситуаций на системах жизнеобеспечения</w:t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Предприятиям, эксплуатирующим оборудование систем жизнеобеспечения на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селения, проверить наличие аварийно-восстановительных бригад и их укомплектованность техникой и оборудованием. Заблаговременно предусмотреть и выполнить комплекс мероприятий по предупреждению чрезвычайных ситуаций на объектах и системах жизнеобеспечения на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селения. Принять меры по обеспечению бесперебойного водоснабжения и электроснабжения котельных и водозаборных сооружений, включая обеспечение этих объектов автономными резервными источниками электропитания. Создать необходимый запас материально-технических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 ресурсов для ликвидации аварийных ситуаций в жилищном фонде, на объектах и сетях коммунальной инфраструктуры. Организовать своевременную и бесперебойную поставку топливно-энергетических ресурсов на объекты жизнеобеспечения населения, обеспечивающие водосн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абжение жилищного фонда и объектов социальной сферы. Уточнить планы переключения потребителей, при аварийном отключении ЛЭП и ТП, на резервные линии электроснабжения. Особое внимание следует уделить соблюдению правил пожарной безопасности при эксплуатации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котельных, печей, отопительных приборов.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zh-CN" w:bidi="hi-IN"/>
        </w:rPr>
        <w:t xml:space="preserve">3. В целях предотвращения аварий на авиационном, железнодорожном транспорте и магистральных трубопроводах</w:t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Контролировать работоспособность транспортных коммуникаций, проводить комплексные профилактические мероприятия по недопущению аварий на железнодорожном и авиационном транспорте. Для недопущения аварий на магистральных трубопроводах (газо-, нефтепроводах) п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роводить патрулирование, организовывать выборочную проверку опасных участков трубопроводов. Уточнить состав сил и средств, привлекаемых для ликвидации ЧС, связанных с авиационным, железнодорожным, магистральным транспортом.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zh-CN" w:bidi="hi-IN"/>
        </w:rPr>
        <w:t xml:space="preserve">4. В целях предотвращения аварий</w:t>
      </w: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zh-CN" w:bidi="hi-IN"/>
        </w:rPr>
        <w:t xml:space="preserve">ных ситуаций на автомобильных дорогах</w:t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Осуществлять контроль технического состояния транспорта, используемого для перевозки людей и опасных грузов, пред рейсовой подготовки водителей;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Обеспечить готовность аварийных служб к реагированию на ДТП;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Организовать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 проведение бесед с водителями предприятий и организаций о последствиях употребления алкоголя перед поездкой с демонстрацией фото- и видеоматериалов с мест ДТП, постоянно проводить пропагандистскую работу через СМИ о необходимости соблюдения правил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дорожно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го движения, о состоянии дорожного покрытия в период действия опасных и неблагоприятных метеорологических условий, необходимости использования необходимой автомобильной резины в соответствии с сезоном года.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Организовать постоянное взаимодействие с территор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иальными подразделениями центра медицины катастроф, районными медицинскими учреждениями и ГИБДД для своевременного реагирования на возможные ДТП; 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Организовать готовность дорожных служб к обеспечению нормального функционирования транспортного сообщения.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В 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случае ухудшения обстановки проработать вопросы: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-дежурства экипажей скорой медицинской помощи, патрульных машин ГИБДД и подвоза ГСМ;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-организации мест питания, размещения водителей и пассажиров, информирования населения через СМИ о сложившейся обстановке,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 а также маршрутов объездных дорог.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В целях обеспечения бесперебойного и безопасного движения по автодорогам в период активного снеготаяния, ледохода, рекомендуется проведение предупредительных работ на участках автодорог, мостах, водопропускных трубах, по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дверженных наибольшему воздействию и разрушениям. Основными видами работ являются: уборка снежных валов на обочинах автодорог; открытие отверстий водопропускных труб; очистка от снега, льда и наносов входных и выходных оголовков, отводящих и подводящих рус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ел; расчистка от снега ближних к мосту водоотводных лотков и устройство траншей в снегу в зоне водоотводных лотков мостов; очистка водоотводных кюветов, подведенных к водопропускным трубам и мостам.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В целях обеспечения сохранности мостов по необходимости выполнить работы по околке льда у опор мостов, очистке русел на малых мостах, где ожидается негативное воздействие вод в период ледохода. 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position w:val="-1"/>
          <w:sz w:val="28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В целях обеспечения бесперебойного транспортного сообщения, з</w:t>
      </w:r>
      <w:r>
        <w:rPr>
          <w:rFonts w:ascii="PT Serif" w:hAnsi="PT Serif" w:eastAsia="PT Serif" w:cs="PT Serif"/>
          <w:position w:val="-1"/>
          <w:sz w:val="28"/>
          <w:szCs w:val="24"/>
          <w:highlight w:val="none"/>
          <w:lang w:eastAsia="ru-RU"/>
        </w:rPr>
        <w:t xml:space="preserve">апланировать необходимые резервы сил и средств для оперативной организации объездов поврежденных участков автомобильных дорог.</w:t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  <w:r>
        <w:rPr>
          <w:rFonts w:ascii="PT Serif" w:hAnsi="PT Serif" w:cs="PT Serif"/>
          <w:position w:val="-1"/>
          <w:sz w:val="28"/>
          <w:szCs w:val="24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ar-SA" w:bidi="hi-IN"/>
        </w:rPr>
        <w:t xml:space="preserve">5. В целях предупреждения несчастных случаев на водных объектах</w:t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Обеспечить контроль готовности спасательных служб к реагированию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на происшествия.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left="-2" w:firstLine="711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Определить составы аварийных бригад, обеспечить их необходимым автотранспортом и оборудованием, провести тренировки по ликвидации аварий/происшествий на водных объектах. Обеспечить контроль и выполнение мероприятий по охране жизни людей на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 акваториях рек и водоемов в границах муниципальных образований. 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left="1" w:firstLine="630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Проводить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обучающим мероприятиям с детьми, включая проведение бесед и лекций по правилам 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безопасного поведения на водных объектах, оказанию первой медицинской помощи пострадавшим.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11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Организовать пропаганду в средствах массовой информации о последствиях несанкционирова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нного выхода людей и техники к водным объектам, а также на ослабший лед, в т.ч. на прекратившие функционирование автозимники и ледовые переправы. Проводить патрулирования на водных объектах, рейды по проверке выполнения правил, продолжать проведение разъяс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нительной работы с населением о соблюдении требований безопасности на водных объектах. </w:t>
      </w:r>
      <w:r>
        <w:rPr>
          <w:rFonts w:ascii="PT Serif" w:hAnsi="PT Serif" w:eastAsia="PT Serif" w:cs="PT Serif"/>
          <w:sz w:val="28"/>
          <w:szCs w:val="24"/>
          <w:highlight w:val="none"/>
          <w:lang w:eastAsia="ru-RU" w:bidi="hi-IN"/>
        </w:rPr>
        <w:t xml:space="preserve">Не допускать выхода людей и техники на лед в непредусмотренных для этого местах, в том числе в период разрушения ледового покрова и прохождения ледохода.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 Информировать население о последствиях невыполнения предупредительных мероприятий. 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pPr>
      <w:r>
        <w:rPr>
          <w:rFonts w:ascii="PT Serif" w:hAnsi="PT Serif" w:eastAsia="PT Serif" w:cs="PT Serif"/>
          <w:b/>
          <w:bCs/>
          <w:i/>
          <w:iCs/>
          <w:sz w:val="28"/>
          <w:szCs w:val="28"/>
          <w:highlight w:val="none"/>
          <w:lang w:eastAsia="zh-CN" w:bidi="hi-IN"/>
        </w:rPr>
        <w:t xml:space="preserve">6. В целях предотвращения чрезвычайных ситуаций, обусловленных ухудшением эпизоотической обстановки</w:t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  <w:r>
        <w:rPr>
          <w:rFonts w:ascii="PT Serif" w:hAnsi="PT Serif" w:cs="PT Serif"/>
          <w:b/>
          <w:bCs/>
          <w:i/>
          <w:iCs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С целью недопущения возникновения новых и распространения очагов бешенс</w:t>
      </w: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тва и других контагиозных заболеваний животных, осуществлять мониторинг ситуаций угроз их возникновения и проведение своевременных противоэпизоотических мероприятий.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40" w:lineRule="auto"/>
        <w:rPr>
          <w:rFonts w:ascii="PT Serif" w:hAnsi="PT Serif" w:cs="PT Serif"/>
          <w:sz w:val="28"/>
          <w:szCs w:val="28"/>
          <w:highlight w:val="none"/>
        </w:rPr>
      </w:pPr>
      <w:r>
        <w:rPr>
          <w:rFonts w:ascii="PT Serif" w:hAnsi="PT Serif" w:eastAsia="PT Serif" w:cs="PT Serif"/>
          <w:sz w:val="28"/>
          <w:szCs w:val="28"/>
          <w:highlight w:val="none"/>
          <w:lang w:eastAsia="zh-CN" w:bidi="hi-IN"/>
        </w:rPr>
        <w:t xml:space="preserve">В период ограничительных мероприятий (карантина) запретить проведение выставок собак и кошек, торговлю домашними животными, вывоз собак и кошек, отлов и охоту на диких животных на территории районов, где отмечены очаги опасных болезней животных.</w:t>
      </w:r>
      <w:r>
        <w:rPr>
          <w:rFonts w:ascii="PT Serif" w:hAnsi="PT Serif" w:cs="PT Serif"/>
          <w:sz w:val="28"/>
          <w:szCs w:val="28"/>
          <w:highlight w:val="none"/>
        </w:rPr>
      </w:r>
      <w:r>
        <w:rPr>
          <w:rFonts w:ascii="PT Serif" w:hAnsi="PT Serif" w:cs="PT Serif"/>
          <w:sz w:val="28"/>
          <w:szCs w:val="28"/>
          <w:highlight w:val="none"/>
        </w:rPr>
      </w:r>
    </w:p>
    <w:p>
      <w:pPr>
        <w:ind w:left="1" w:firstLine="706"/>
        <w:jc w:val="both"/>
        <w:spacing w:after="0" w:line="240" w:lineRule="auto"/>
        <w:rPr>
          <w:rFonts w:ascii="PT Serif" w:hAnsi="PT Serif" w:cs="PT Serif"/>
          <w:b/>
          <w:i/>
          <w:position w:val="-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0"/>
      </w:pPr>
      <w:r>
        <w:rPr>
          <w:rFonts w:ascii="PT Serif" w:hAnsi="PT Serif" w:eastAsia="PT Serif" w:cs="PT Serif"/>
          <w:b/>
          <w:i/>
          <w:position w:val="-1"/>
          <w:sz w:val="28"/>
          <w:szCs w:val="28"/>
          <w:highlight w:val="none"/>
          <w:lang w:eastAsia="ru-RU"/>
        </w:rPr>
        <w:t xml:space="preserve">7. В целях</w:t>
      </w:r>
      <w:r>
        <w:rPr>
          <w:rFonts w:ascii="PT Serif" w:hAnsi="PT Serif" w:eastAsia="PT Serif" w:cs="PT Serif"/>
          <w:b/>
          <w:i/>
          <w:position w:val="-1"/>
          <w:sz w:val="28"/>
          <w:szCs w:val="28"/>
          <w:highlight w:val="none"/>
          <w:lang w:eastAsia="ru-RU"/>
        </w:rPr>
        <w:t xml:space="preserve"> предотвращения чрезвычайных ситуаций, обусловленных ухудшением эпидемиологической обстановки, в том числе обусловленных коронавирусной инфекцией</w:t>
      </w:r>
      <w:r>
        <w:rPr>
          <w:rFonts w:ascii="PT Serif" w:hAnsi="PT Serif" w:cs="PT Serif"/>
          <w:b/>
          <w:i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b/>
          <w:i/>
          <w:position w:val="-1"/>
          <w:sz w:val="28"/>
          <w:szCs w:val="28"/>
          <w:highlight w:val="none"/>
        </w:rPr>
      </w:r>
    </w:p>
    <w:p>
      <w:pPr>
        <w:ind w:left="-2" w:firstLine="703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Обеспечить проведение комплекса предупредительных мер, а также контроль за необходимым запасом медикаментов, в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акцин, для лечения и профилактики гриппа и острых респираторных вирусных инфекций (в т.ч. коронавирусной инфекции COVID-19).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3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Проводить противоэпидемические, профилактические мероприятия в учреждениях всех форм собственности и в первую очередь в местах масс</w:t>
      </w: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ового скопления людей.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left="-2" w:firstLine="703"/>
        <w:jc w:val="both"/>
        <w:spacing w:after="0" w:line="240" w:lineRule="auto"/>
        <w:rPr>
          <w:rFonts w:ascii="PT Serif" w:hAnsi="PT Serif" w:cs="PT Serif"/>
          <w:position w:val="-1"/>
          <w:sz w:val="28"/>
          <w:szCs w:val="28"/>
          <w:highlight w:val="none"/>
        </w:rPr>
        <w:outlineLvl w:val="0"/>
      </w:pPr>
      <w:r>
        <w:rPr>
          <w:rFonts w:ascii="PT Serif" w:hAnsi="PT Serif" w:eastAsia="PT Serif" w:cs="PT Serif"/>
          <w:position w:val="-1"/>
          <w:sz w:val="28"/>
          <w:szCs w:val="28"/>
          <w:highlight w:val="none"/>
          <w:lang w:eastAsia="ru-RU"/>
        </w:rPr>
        <w:t xml:space="preserve">Организовать санитарно-просветительную работу через средства массовой информации и интернет ресурсы МО о методах и средствах профилактики простудных заболеваниях (ОРВИ и гриппа, коронавирусной инфекции) и мерах по их предупреждению.</w:t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  <w:r>
        <w:rPr>
          <w:rFonts w:ascii="PT Serif" w:hAnsi="PT Serif" w:cs="PT Serif"/>
          <w:position w:val="-1"/>
          <w:sz w:val="28"/>
          <w:szCs w:val="28"/>
          <w:highlight w:val="none"/>
        </w:rPr>
      </w:r>
    </w:p>
    <w:p>
      <w:pPr>
        <w:ind w:firstLine="563"/>
        <w:jc w:val="both"/>
        <w:spacing w:after="0" w:line="240" w:lineRule="auto"/>
        <w:rPr>
          <w:rFonts w:ascii="PT Serif" w:hAnsi="PT Serif" w:cs="PT Serif"/>
          <w:i/>
          <w:position w:val="-1"/>
          <w:sz w:val="16"/>
          <w:szCs w:val="16"/>
          <w:highlight w:val="none"/>
        </w:rPr>
      </w:pPr>
      <w:r>
        <w:rPr>
          <w:rFonts w:ascii="PT Serif" w:hAnsi="PT Serif" w:eastAsia="PT Serif" w:cs="PT Serif"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i/>
          <w:position w:val="-1"/>
          <w:sz w:val="16"/>
          <w:szCs w:val="16"/>
          <w:highlight w:val="none"/>
        </w:rPr>
      </w:r>
    </w:p>
    <w:p>
      <w:pPr>
        <w:ind w:firstLine="563"/>
        <w:jc w:val="both"/>
        <w:spacing w:after="0" w:line="240" w:lineRule="auto"/>
        <w:rPr>
          <w:rFonts w:ascii="PT Serif" w:hAnsi="PT Serif" w:cs="PT Serif"/>
          <w:i/>
          <w:position w:val="-1"/>
          <w:sz w:val="16"/>
          <w:szCs w:val="16"/>
          <w:highlight w:val="none"/>
        </w:rPr>
      </w:pPr>
      <w:r>
        <w:rPr>
          <w:rFonts w:ascii="PT Serif" w:hAnsi="PT Serif" w:eastAsia="PT Serif" w:cs="PT Serif"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i/>
          <w:position w:val="-1"/>
          <w:sz w:val="16"/>
          <w:szCs w:val="16"/>
          <w:highlight w:val="none"/>
        </w:rPr>
      </w:r>
      <w:r>
        <w:rPr>
          <w:rFonts w:ascii="PT Serif" w:hAnsi="PT Serif" w:cs="PT Serif"/>
          <w:i/>
          <w:position w:val="-1"/>
          <w:sz w:val="16"/>
          <w:szCs w:val="16"/>
          <w:highlight w:val="none"/>
        </w:rPr>
      </w:r>
    </w:p>
    <w:p>
      <w:pPr>
        <w:ind w:firstLine="563"/>
        <w:jc w:val="both"/>
        <w:spacing w:after="0" w:line="1" w:lineRule="atLeast"/>
        <w:rPr>
          <w:rFonts w:ascii="PT Serif" w:hAnsi="PT Serif" w:cs="PT Serif"/>
          <w:i/>
          <w:position w:val="-1"/>
          <w:sz w:val="20"/>
          <w:szCs w:val="20"/>
          <w:highlight w:val="none"/>
        </w:rPr>
      </w:pPr>
      <w:r>
        <w:rPr>
          <w:rFonts w:ascii="PT Serif" w:hAnsi="PT Serif" w:eastAsia="PT Serif" w:cs="PT Serif"/>
          <w:i/>
          <w:position w:val="-1"/>
          <w:sz w:val="20"/>
          <w:szCs w:val="20"/>
          <w:highlight w:val="none"/>
          <w:lang w:eastAsia="ru-RU"/>
        </w:rPr>
        <w:t xml:space="preserve">Подготовлен на основе информации Ханты-Мансийског</w:t>
      </w:r>
      <w:r>
        <w:rPr>
          <w:rFonts w:ascii="PT Serif" w:hAnsi="PT Serif" w:eastAsia="PT Serif" w:cs="PT Serif"/>
          <w:i/>
          <w:position w:val="-1"/>
          <w:sz w:val="20"/>
          <w:szCs w:val="20"/>
          <w:highlight w:val="none"/>
          <w:lang w:eastAsia="ru-RU"/>
        </w:rPr>
        <w:t xml:space="preserve">о ЦГМС - филиала ФГБУ «Обь-Иртышское УГМС», Управления Роспотребнадзора по ХМАО-Югре, Управления надзорной деятельности, КУ ХМАО-Югры «Центр обеспечения безопасности жизнедеятельности и призыва граждан на военную службу», ГУ МЧС России по ХМАО-Югре, Филиал</w:t>
      </w:r>
      <w:r>
        <w:rPr>
          <w:rFonts w:ascii="PT Serif" w:hAnsi="PT Serif" w:eastAsia="PT Serif" w:cs="PT Serif"/>
          <w:i/>
          <w:position w:val="-1"/>
          <w:sz w:val="20"/>
          <w:szCs w:val="20"/>
          <w:highlight w:val="none"/>
          <w:lang w:eastAsia="ru-RU"/>
        </w:rPr>
        <w:t xml:space="preserve">а Севера Сибири ФГБУ «Авиаметтелеком Росгидромета», статистических данных.</w:t>
      </w:r>
      <w:r>
        <w:rPr>
          <w:rFonts w:ascii="PT Serif" w:hAnsi="PT Serif" w:cs="PT Serif"/>
          <w:i/>
          <w:position w:val="-1"/>
          <w:sz w:val="20"/>
          <w:szCs w:val="20"/>
          <w:highlight w:val="none"/>
        </w:rPr>
      </w:r>
      <w:r>
        <w:rPr>
          <w:rFonts w:ascii="PT Serif" w:hAnsi="PT Serif" w:cs="PT Serif"/>
          <w:i/>
          <w:position w:val="-1"/>
          <w:sz w:val="20"/>
          <w:szCs w:val="20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 w:val="24"/>
          <w:szCs w:val="24"/>
          <w:highlight w:val="none"/>
          <w:lang w:eastAsia="ru-RU"/>
        </w:rPr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highlight w:val="none"/>
        </w:rPr>
      </w:pP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1768815</wp:posOffset>
                </wp:positionH>
                <wp:positionV relativeFrom="paragraph">
                  <wp:posOffset>101568</wp:posOffset>
                </wp:positionV>
                <wp:extent cx="2590800" cy="1238249"/>
                <wp:effectExtent l="6350" t="6350" r="6350" b="6350"/>
                <wp:wrapNone/>
                <wp:docPr id="4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590799" cy="12382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" type="#_x0000_t2" style="position:absolute;z-index:251659264;o:allowoverlap:true;o:allowincell:true;mso-position-horizontal-relative:text;margin-left:139.28pt;mso-position-horizontal:absolute;mso-position-vertical-relative:text;margin-top:8.00pt;mso-position-vertical:absolute;width:204.00pt;height:97.50pt;mso-wrap-distance-left:9.00pt;mso-wrap-distance-top:0.00pt;mso-wrap-distance-right:9.00pt;mso-wrap-distance-bottom:0.00pt;visibility:visible;" filled="f" strokecolor="#000000" strokeweight="1.00pt">
                <v:stroke dashstyle="solid"/>
              </v:shape>
            </w:pict>
          </mc:Fallback>
        </mc:AlternateContent>
      </w:r>
      <w:r>
        <w:rPr>
          <w:rFonts w:ascii="PT Serif" w:hAnsi="PT Serif" w:cs="PT Serif"/>
          <w:position w:val="-1"/>
          <w:highlight w:val="none"/>
        </w:rPr>
      </w:r>
      <w:r>
        <w:rPr>
          <w:rFonts w:ascii="PT Serif" w:hAnsi="PT Serif" w:cs="PT Serif"/>
          <w:position w:val="-1"/>
          <w:highlight w:val="none"/>
        </w:rPr>
      </w:r>
    </w:p>
    <w:tbl>
      <w:tblPr>
        <w:tblW w:w="5548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3"/>
        <w:gridCol w:w="3452"/>
        <w:gridCol w:w="3710"/>
      </w:tblGrid>
      <w:tr>
        <w:tblPrEx/>
        <w:trPr>
          <w:trHeight w:val="1443"/>
        </w:trPr>
        <w:tc>
          <w:tcPr>
            <w:shd w:val="clear" w:color="ffffff" w:fill="ffffff"/>
            <w:tcW w:w="1442" w:type="pc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PT Serif" w:hAnsi="PT Serif" w:eastAsia="PT Serif" w:cs="PT Serif"/>
                <w:sz w:val="28"/>
                <w:szCs w:val="28"/>
                <w:highlight w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r>
          </w:p>
          <w:p>
            <w:pPr>
              <w:jc w:val="left"/>
              <w:spacing w:after="0" w:line="240" w:lineRule="auto"/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pPr>
            <w:r>
              <w:rPr>
                <w:rFonts w:ascii="PT Serif" w:hAnsi="PT Serif" w:eastAsia="PT Serif" w:cs="PT Serif"/>
                <w:sz w:val="28"/>
                <w:szCs w:val="28"/>
                <w:highlight w:val="none"/>
              </w:rPr>
              <w:t xml:space="preserve">Начальник центра</w:t>
            </w:r>
            <w:r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  <w14:ligatures w14:val="none"/>
              </w:rPr>
            </w:r>
          </w:p>
        </w:tc>
        <w:tc>
          <w:tcPr>
            <w:shd w:val="clear" w:color="ffffff" w:fill="ffffff"/>
            <w:tcW w:w="17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highlight w:val="non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-8255</wp:posOffset>
                      </wp:positionV>
                      <wp:extent cx="371475" cy="333375"/>
                      <wp:effectExtent l="0" t="0" r="0" b="0"/>
                      <wp:wrapThrough wrapText="bothSides">
                        <wp:wrapPolygon edited="1">
                          <wp:start x="-25" y="0"/>
                          <wp:lineTo x="-25" y="20955"/>
                          <wp:lineTo x="21020" y="20955"/>
                          <wp:lineTo x="21020" y="0"/>
                          <wp:lineTo x="-25" y="0"/>
                        </wp:wrapPolygon>
                      </wp:wrapThrough>
                      <wp:docPr id="5" name="Изображение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9595548" name="Изображение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>
                                <a:extLst>
                                  <a:ext uri="{96DAC541-7B7A-43D3-8B79-37D633B846F1}">
                                    <asvg:svgBlip xmlns:asvg="http://schemas.microsoft.com/office/drawing/2016/SVG/main" r:embed="rId13"/>
                                  </a:ext>
                                </a:extLst>
                              </a:blip>
                              <a:stretch/>
                            </pic:blipFill>
                            <pic:spPr bwMode="auto">
                              <a:xfrm>
                                <a:off x="0" y="0"/>
                                <a:ext cx="371475" cy="33337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59264;o:allowoverlap:true;o:allowincell:true;mso-position-horizontal-relative:text;margin-left:-36.40pt;mso-position-horizontal:absolute;mso-position-vertical-relative:text;margin-top:-0.65pt;mso-position-vertical:absolute;width:29.25pt;height:26.25pt;mso-wrap-distance-left:9.00pt;mso-wrap-distance-top:0.00pt;mso-wrap-distance-right:9.00pt;mso-wrap-distance-bottom:0.00pt;" wrapcoords="-115 0 -115 97014 97315 97014 97315 0 -115 0" stroked="false">
                      <v:path textboxrect="0,0,0,0"/>
                      <w10:wrap type="through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PT Serif" w:hAnsi="PT Serif" w:eastAsia="PT Serif" w:cs="PT Serif"/>
                <w:b/>
                <w:sz w:val="20"/>
                <w:szCs w:val="20"/>
                <w:highlight w:val="none"/>
              </w:rPr>
              <w:t xml:space="preserve">ДОКУМЕНТ ПОДПИСАН</w:t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b/>
                <w:sz w:val="20"/>
                <w:szCs w:val="20"/>
                <w:highlight w:val="none"/>
              </w:rPr>
              <w:t xml:space="preserve">ЭЛЕКТРОННОЙ ПОДПИСЬЮ</w:t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  <w:p>
            <w:pPr>
              <w:spacing w:after="0" w:line="240" w:lineRule="auto"/>
              <w:rPr>
                <w:rFonts w:ascii="PT Serif" w:hAnsi="PT Serif" w:cs="PT Serif"/>
                <w:sz w:val="8"/>
                <w:szCs w:val="8"/>
                <w:highlight w:val="none"/>
              </w:rPr>
            </w:pPr>
            <w:r>
              <w:rPr>
                <w:rFonts w:ascii="PT Serif" w:hAnsi="PT Serif" w:eastAsia="PT Serif" w:cs="PT Serif"/>
                <w:sz w:val="8"/>
                <w:szCs w:val="8"/>
                <w:highlight w:val="none"/>
              </w:rPr>
            </w:r>
            <w:r>
              <w:rPr>
                <w:rFonts w:ascii="PT Serif" w:hAnsi="PT Serif" w:cs="PT Serif"/>
                <w:sz w:val="8"/>
                <w:szCs w:val="8"/>
                <w:highlight w:val="none"/>
              </w:rPr>
            </w:r>
            <w:r>
              <w:rPr>
                <w:rFonts w:ascii="PT Serif" w:hAnsi="PT Serif" w:cs="PT Serif"/>
                <w:sz w:val="8"/>
                <w:szCs w:val="8"/>
                <w:highlight w:val="none"/>
              </w:rPr>
            </w:r>
          </w:p>
          <w:p>
            <w:pPr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Сертификат  [</w:t>
            </w: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Номер сертификата 1]</w:t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  <w:p>
            <w:pPr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Владелец [Владелец сертификата 1]</w:t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  <w:p>
            <w:pPr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Действителен с [</w:t>
            </w: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ДатаС</w:t>
            </w: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 1] по [</w:t>
            </w: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ДатаПо</w:t>
            </w:r>
            <w:r>
              <w:rPr>
                <w:rFonts w:ascii="PT Serif" w:hAnsi="PT Serif" w:eastAsia="PT Serif" w:cs="PT Serif"/>
                <w:sz w:val="18"/>
                <w:szCs w:val="18"/>
                <w:highlight w:val="none"/>
              </w:rPr>
              <w:t xml:space="preserve"> 1]</w:t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</w:tc>
        <w:tc>
          <w:tcPr>
            <w:shd w:val="clear" w:color="ffffff" w:fill="ffffff"/>
            <w:tcW w:w="1843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PT Serif" w:hAnsi="PT Serif" w:cs="PT Serif"/>
                <w:sz w:val="28"/>
                <w:szCs w:val="28"/>
                <w:highlight w:val="none"/>
              </w:rPr>
            </w:pPr>
            <w:r>
              <w:rPr>
                <w:rFonts w:ascii="PT Serif" w:hAnsi="PT Serif" w:eastAsia="PT Serif" w:cs="PT Serif"/>
                <w:sz w:val="28"/>
                <w:szCs w:val="28"/>
                <w:highlight w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PT Serif" w:hAnsi="PT Serif" w:cs="PT Serif"/>
                <w:sz w:val="28"/>
                <w:szCs w:val="28"/>
                <w:highlight w:val="none"/>
              </w:rPr>
            </w:pPr>
            <w:r>
              <w:rPr>
                <w:rFonts w:ascii="PT Serif" w:hAnsi="PT Serif" w:eastAsia="PT Serif" w:cs="PT Serif"/>
                <w:sz w:val="28"/>
                <w:szCs w:val="28"/>
                <w:highlight w:val="none"/>
              </w:rPr>
              <w:t xml:space="preserve">Р.Д. Романенко</w:t>
            </w:r>
            <w:r>
              <w:rPr>
                <w:rFonts w:ascii="PT Serif" w:hAnsi="PT Serif" w:cs="PT Serif"/>
                <w:sz w:val="28"/>
                <w:szCs w:val="28"/>
                <w:highlight w:val="none"/>
              </w:rPr>
            </w:r>
            <w:r>
              <w:rPr>
                <w:rFonts w:ascii="PT Serif" w:hAnsi="PT Serif" w:cs="PT Serif"/>
                <w:sz w:val="28"/>
                <w:szCs w:val="28"/>
                <w:highlight w:val="none"/>
              </w:rPr>
            </w:r>
          </w:p>
          <w:p>
            <w:pPr>
              <w:spacing w:after="0" w:line="240" w:lineRule="auto"/>
              <w:rPr>
                <w:rFonts w:ascii="PT Serif" w:hAnsi="PT Serif" w:cs="PT Serif"/>
                <w:highlight w:val="none"/>
              </w:rPr>
            </w:pPr>
            <w:r>
              <w:rPr>
                <w:rFonts w:ascii="PT Serif" w:hAnsi="PT Serif" w:eastAsia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  <w:r>
              <w:rPr>
                <w:rFonts w:ascii="PT Serif" w:hAnsi="PT Serif" w:cs="PT Serif"/>
                <w:highlight w:val="none"/>
              </w:rPr>
            </w:r>
          </w:p>
        </w:tc>
      </w:tr>
    </w:tbl>
    <w:p>
      <w:pPr>
        <w:ind w:hanging="2"/>
        <w:spacing w:after="0" w:line="1" w:lineRule="atLeast"/>
        <w:rPr>
          <w:rFonts w:ascii="PT Serif" w:hAnsi="PT Serif" w:cs="PT Serif"/>
          <w:position w:val="-1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highlight w:val="none"/>
        </w:rPr>
      </w:r>
      <w:r>
        <w:rPr>
          <w:rFonts w:ascii="PT Serif" w:hAnsi="PT Serif" w:cs="PT Serif"/>
          <w:position w:val="-1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  <w:lang w:eastAsia="ru-RU"/>
        </w:rPr>
        <w:t xml:space="preserve">Территориальный центр анализа и прогноза угроз безопасности</w:t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  <w:lang w:eastAsia="ru-RU"/>
        </w:rPr>
        <w:t xml:space="preserve">тел. 8 (3467) 360-086 (доб. 200, 210, 211)</w:t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  <w:lang w:val="en-US" w:eastAsia="ru-RU"/>
        </w:rPr>
        <w:t xml:space="preserve">e-mail: riskhmao@cov86.ru </w:t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  <w:lang w:val="en-US" w:eastAsia="ru-RU"/>
        </w:rPr>
        <w:t xml:space="preserve">http://risk.cov86.ru</w:t>
      </w:r>
      <w:r>
        <w:rPr>
          <w:rFonts w:ascii="PT Serif" w:hAnsi="PT Serif" w:eastAsia="PT Serif" w:cs="PT Serif"/>
          <w:position w:val="-1"/>
          <w:sz w:val="24"/>
          <w:szCs w:val="24"/>
          <w:highlight w:val="none"/>
          <w:lang w:val="en-US" w:eastAsia="ru-RU"/>
        </w:rPr>
        <w:t xml:space="preserve"> </w:t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firstLine="563"/>
        <w:jc w:val="both"/>
        <w:spacing w:after="0" w:line="240" w:lineRule="auto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p>
      <w:pPr>
        <w:ind w:hanging="2"/>
        <w:spacing w:after="0" w:line="1" w:lineRule="atLeast"/>
        <w:rPr>
          <w:rFonts w:ascii="PT Serif" w:hAnsi="PT Serif" w:cs="PT Serif"/>
          <w:position w:val="-1"/>
          <w:szCs w:val="24"/>
          <w:highlight w:val="none"/>
        </w:rPr>
      </w:pPr>
      <w:r>
        <w:rPr>
          <w:rFonts w:ascii="PT Serif" w:hAnsi="PT Serif" w:eastAsia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  <w:r>
        <w:rPr>
          <w:rFonts w:ascii="PT Serif" w:hAnsi="PT Serif" w:cs="PT Serif"/>
          <w:position w:val="-1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PT Serif">
    <w:panose1 w:val="020A0603040505020204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75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37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4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3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0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4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74" w:hanging="360"/>
      </w:pPr>
      <w:rPr>
        <w:rFonts w:hint="default"/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upperRoman"/>
      <w:pStyle w:val="873"/>
      <w:isLgl w:val="false"/>
      <w:suff w:val="tab"/>
      <w:lvlText w:val="%1."/>
      <w:lvlJc w:val="right"/>
      <w:pPr>
        <w:ind w:left="1070" w:hanging="360"/>
      </w:pPr>
    </w:lvl>
    <w:lvl w:ilvl="1">
      <w:start w:val="1"/>
      <w:numFmt w:val="decimal"/>
      <w:isLgl/>
      <w:suff w:val="tab"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45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52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630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701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36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8" w:hanging="360"/>
      </w:pPr>
      <w:rPr>
        <w:rFonts w:hint="default" w:ascii="Symbol" w:hAnsi="Symbol" w:cs="Arial" w:eastAsiaTheme="minorHAnsi"/>
        <w:i w:val="0"/>
        <w:color w:val="333333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7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79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1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3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5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7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9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18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 w:default="1">
    <w:name w:val="Normal"/>
    <w:qFormat/>
  </w:style>
  <w:style w:type="paragraph" w:styleId="677">
    <w:name w:val="Heading 1"/>
    <w:basedOn w:val="676"/>
    <w:next w:val="676"/>
    <w:link w:val="87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78">
    <w:name w:val="Heading 2"/>
    <w:basedOn w:val="676"/>
    <w:next w:val="676"/>
    <w:link w:val="7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Caption Char"/>
    <w:uiPriority w:val="99"/>
  </w:style>
  <w:style w:type="character" w:styleId="690" w:customStyle="1">
    <w:name w:val="Heading 2 Char"/>
    <w:basedOn w:val="686"/>
    <w:uiPriority w:val="9"/>
    <w:rPr>
      <w:rFonts w:ascii="Arial" w:hAnsi="Arial" w:eastAsia="Arial" w:cs="Arial"/>
      <w:sz w:val="34"/>
    </w:rPr>
  </w:style>
  <w:style w:type="character" w:styleId="691" w:customStyle="1">
    <w:name w:val="Heading 3 Char"/>
    <w:basedOn w:val="686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Heading 4 Char"/>
    <w:basedOn w:val="686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Heading 5 Char"/>
    <w:basedOn w:val="686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Heading 6 Char"/>
    <w:basedOn w:val="686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Heading 7 Char"/>
    <w:basedOn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Heading 8 Char"/>
    <w:basedOn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Heading 9 Char"/>
    <w:basedOn w:val="686"/>
    <w:uiPriority w:val="9"/>
    <w:rPr>
      <w:rFonts w:ascii="Arial" w:hAnsi="Arial" w:eastAsia="Arial" w:cs="Arial"/>
      <w:i/>
      <w:iCs/>
      <w:sz w:val="21"/>
      <w:szCs w:val="21"/>
    </w:rPr>
  </w:style>
  <w:style w:type="character" w:styleId="698" w:customStyle="1">
    <w:name w:val="Title Char"/>
    <w:basedOn w:val="686"/>
    <w:uiPriority w:val="10"/>
    <w:rPr>
      <w:sz w:val="48"/>
      <w:szCs w:val="48"/>
    </w:rPr>
  </w:style>
  <w:style w:type="character" w:styleId="699" w:customStyle="1">
    <w:name w:val="Quote Char"/>
    <w:uiPriority w:val="29"/>
    <w:rPr>
      <w:i/>
    </w:rPr>
  </w:style>
  <w:style w:type="character" w:styleId="700" w:customStyle="1">
    <w:name w:val="Intense Quote Char"/>
    <w:uiPriority w:val="30"/>
    <w:rPr>
      <w:i/>
    </w:rPr>
  </w:style>
  <w:style w:type="character" w:styleId="701" w:customStyle="1">
    <w:name w:val="Header Char"/>
    <w:basedOn w:val="686"/>
    <w:uiPriority w:val="99"/>
  </w:style>
  <w:style w:type="character" w:styleId="702" w:customStyle="1">
    <w:name w:val="Название объекта Знак"/>
    <w:link w:val="726"/>
    <w:uiPriority w:val="99"/>
  </w:style>
  <w:style w:type="character" w:styleId="703" w:customStyle="1">
    <w:name w:val="Footnote Text Char"/>
    <w:uiPriority w:val="99"/>
    <w:rPr>
      <w:sz w:val="18"/>
    </w:rPr>
  </w:style>
  <w:style w:type="character" w:styleId="704" w:customStyle="1">
    <w:name w:val="Endnote Text Char"/>
    <w:uiPriority w:val="99"/>
    <w:rPr>
      <w:sz w:val="20"/>
    </w:rPr>
  </w:style>
  <w:style w:type="character" w:styleId="705" w:customStyle="1">
    <w:name w:val="Heading 1 Char"/>
    <w:basedOn w:val="686"/>
    <w:uiPriority w:val="9"/>
    <w:rPr>
      <w:rFonts w:ascii="Arial" w:hAnsi="Arial" w:eastAsia="Arial" w:cs="Arial"/>
      <w:sz w:val="40"/>
      <w:szCs w:val="40"/>
    </w:rPr>
  </w:style>
  <w:style w:type="character" w:styleId="706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707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708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709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710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711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713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714">
    <w:name w:val="No Spacing"/>
    <w:uiPriority w:val="1"/>
    <w:qFormat/>
    <w:pPr>
      <w:spacing w:after="0" w:line="240" w:lineRule="auto"/>
    </w:pPr>
  </w:style>
  <w:style w:type="paragraph" w:styleId="715">
    <w:name w:val="Title"/>
    <w:basedOn w:val="676"/>
    <w:next w:val="676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basedOn w:val="686"/>
    <w:link w:val="715"/>
    <w:uiPriority w:val="10"/>
    <w:rPr>
      <w:sz w:val="48"/>
      <w:szCs w:val="48"/>
    </w:rPr>
  </w:style>
  <w:style w:type="character" w:styleId="717" w:customStyle="1">
    <w:name w:val="Subtitle Char"/>
    <w:basedOn w:val="686"/>
    <w:uiPriority w:val="11"/>
    <w:rPr>
      <w:sz w:val="24"/>
      <w:szCs w:val="24"/>
    </w:rPr>
  </w:style>
  <w:style w:type="paragraph" w:styleId="718">
    <w:name w:val="Quote"/>
    <w:basedOn w:val="676"/>
    <w:next w:val="676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76"/>
    <w:next w:val="676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76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 w:customStyle="1">
    <w:name w:val="Верхний колонтитул Знак"/>
    <w:basedOn w:val="686"/>
    <w:link w:val="722"/>
    <w:uiPriority w:val="99"/>
  </w:style>
  <w:style w:type="paragraph" w:styleId="724">
    <w:name w:val="Footer"/>
    <w:basedOn w:val="676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 w:customStyle="1">
    <w:name w:val="Footer Char"/>
    <w:basedOn w:val="686"/>
    <w:uiPriority w:val="99"/>
  </w:style>
  <w:style w:type="paragraph" w:styleId="726">
    <w:name w:val="Caption"/>
    <w:basedOn w:val="676"/>
    <w:next w:val="676"/>
    <w:link w:val="70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Нижний колонтитул Знак"/>
    <w:link w:val="724"/>
    <w:uiPriority w:val="99"/>
  </w:style>
  <w:style w:type="table" w:styleId="728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8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9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0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1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2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3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2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3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4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5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4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1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2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3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4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5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6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3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2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3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4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5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6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7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9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0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1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2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3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563c1" w:themeColor="hyperlink"/>
      <w:u w:val="single"/>
    </w:rPr>
  </w:style>
  <w:style w:type="paragraph" w:styleId="855">
    <w:name w:val="footnote text"/>
    <w:basedOn w:val="676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86"/>
    <w:uiPriority w:val="99"/>
    <w:unhideWhenUsed/>
    <w:rPr>
      <w:vertAlign w:val="superscript"/>
    </w:rPr>
  </w:style>
  <w:style w:type="paragraph" w:styleId="858">
    <w:name w:val="endnote text"/>
    <w:basedOn w:val="676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86"/>
    <w:uiPriority w:val="99"/>
    <w:semiHidden/>
    <w:unhideWhenUsed/>
    <w:rPr>
      <w:vertAlign w:val="superscript"/>
    </w:rPr>
  </w:style>
  <w:style w:type="paragraph" w:styleId="861">
    <w:name w:val="toc 1"/>
    <w:basedOn w:val="676"/>
    <w:next w:val="676"/>
    <w:uiPriority w:val="39"/>
    <w:unhideWhenUsed/>
    <w:pPr>
      <w:spacing w:after="57"/>
    </w:pPr>
  </w:style>
  <w:style w:type="paragraph" w:styleId="862">
    <w:name w:val="toc 2"/>
    <w:basedOn w:val="676"/>
    <w:next w:val="676"/>
    <w:uiPriority w:val="39"/>
    <w:unhideWhenUsed/>
    <w:pPr>
      <w:ind w:left="283"/>
      <w:spacing w:after="57"/>
    </w:pPr>
  </w:style>
  <w:style w:type="paragraph" w:styleId="863">
    <w:name w:val="toc 3"/>
    <w:basedOn w:val="676"/>
    <w:next w:val="676"/>
    <w:uiPriority w:val="39"/>
    <w:unhideWhenUsed/>
    <w:pPr>
      <w:ind w:left="567"/>
      <w:spacing w:after="57"/>
    </w:pPr>
  </w:style>
  <w:style w:type="paragraph" w:styleId="864">
    <w:name w:val="toc 4"/>
    <w:basedOn w:val="676"/>
    <w:next w:val="676"/>
    <w:uiPriority w:val="39"/>
    <w:unhideWhenUsed/>
    <w:pPr>
      <w:ind w:left="850"/>
      <w:spacing w:after="57"/>
    </w:pPr>
  </w:style>
  <w:style w:type="paragraph" w:styleId="865">
    <w:name w:val="toc 5"/>
    <w:basedOn w:val="676"/>
    <w:next w:val="676"/>
    <w:uiPriority w:val="39"/>
    <w:unhideWhenUsed/>
    <w:pPr>
      <w:ind w:left="1134"/>
      <w:spacing w:after="57"/>
    </w:pPr>
  </w:style>
  <w:style w:type="paragraph" w:styleId="866">
    <w:name w:val="toc 6"/>
    <w:basedOn w:val="676"/>
    <w:next w:val="676"/>
    <w:uiPriority w:val="39"/>
    <w:unhideWhenUsed/>
    <w:pPr>
      <w:ind w:left="1417"/>
      <w:spacing w:after="57"/>
    </w:pPr>
  </w:style>
  <w:style w:type="paragraph" w:styleId="867">
    <w:name w:val="toc 7"/>
    <w:basedOn w:val="676"/>
    <w:next w:val="676"/>
    <w:uiPriority w:val="39"/>
    <w:unhideWhenUsed/>
    <w:pPr>
      <w:ind w:left="1701"/>
      <w:spacing w:after="57"/>
    </w:pPr>
  </w:style>
  <w:style w:type="paragraph" w:styleId="868">
    <w:name w:val="toc 8"/>
    <w:basedOn w:val="676"/>
    <w:next w:val="676"/>
    <w:uiPriority w:val="39"/>
    <w:unhideWhenUsed/>
    <w:pPr>
      <w:ind w:left="1984"/>
      <w:spacing w:after="57"/>
    </w:pPr>
  </w:style>
  <w:style w:type="paragraph" w:styleId="869">
    <w:name w:val="toc 9"/>
    <w:basedOn w:val="676"/>
    <w:next w:val="676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76"/>
    <w:next w:val="676"/>
    <w:uiPriority w:val="99"/>
    <w:unhideWhenUsed/>
    <w:pPr>
      <w:spacing w:after="0"/>
    </w:pPr>
  </w:style>
  <w:style w:type="paragraph" w:styleId="872">
    <w:name w:val="List Paragraph"/>
    <w:basedOn w:val="676"/>
    <w:uiPriority w:val="34"/>
    <w:qFormat/>
    <w:pPr>
      <w:contextualSpacing/>
      <w:ind w:left="720"/>
    </w:pPr>
  </w:style>
  <w:style w:type="paragraph" w:styleId="873" w:customStyle="1">
    <w:name w:val="Для оглавления"/>
    <w:basedOn w:val="677"/>
    <w:pPr>
      <w:numPr>
        <w:ilvl w:val="0"/>
        <w:numId w:val="1"/>
      </w:numPr>
      <w:ind w:left="0" w:firstLine="0"/>
      <w:jc w:val="center"/>
      <w:spacing w:after="120" w:line="276" w:lineRule="auto"/>
      <w:tabs>
        <w:tab w:val="num" w:pos="360" w:leader="none"/>
      </w:tabs>
    </w:pPr>
    <w:rPr>
      <w:rFonts w:ascii="Times New Roman" w:hAnsi="Times New Roman" w:cs="Times New Roman"/>
      <w:b/>
      <w:bCs/>
      <w:color w:val="auto"/>
      <w:sz w:val="28"/>
      <w:szCs w:val="28"/>
      <w:lang w:eastAsia="ru-RU"/>
    </w:rPr>
  </w:style>
  <w:style w:type="paragraph" w:styleId="874" w:customStyle="1">
    <w:name w:val="Для оглавления2"/>
    <w:basedOn w:val="877"/>
    <w:link w:val="875"/>
    <w:pPr>
      <w:numPr>
        <w:ilvl w:val="0"/>
      </w:numPr>
      <w:ind w:left="1070" w:hanging="360"/>
      <w:jc w:val="center"/>
      <w:spacing w:before="240" w:after="120" w:line="276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875" w:customStyle="1">
    <w:name w:val="Для оглавления2 Знак"/>
    <w:basedOn w:val="878"/>
    <w:link w:val="874"/>
    <w:rPr>
      <w:rFonts w:ascii="Times New Roman" w:hAnsi="Times New Roman" w:cs="Times New Roman" w:eastAsiaTheme="minorEastAsia"/>
      <w:b/>
      <w:bCs/>
      <w:color w:val="5a5a5a" w:themeColor="text1" w:themeTint="A5"/>
      <w:spacing w:val="15"/>
      <w:sz w:val="28"/>
      <w:szCs w:val="28"/>
    </w:rPr>
  </w:style>
  <w:style w:type="character" w:styleId="876" w:customStyle="1">
    <w:name w:val="Заголовок 1 Знак"/>
    <w:basedOn w:val="686"/>
    <w:link w:val="677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7">
    <w:name w:val="Subtitle"/>
    <w:basedOn w:val="676"/>
    <w:next w:val="676"/>
    <w:link w:val="878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878" w:customStyle="1">
    <w:name w:val="Подзаголовок Знак"/>
    <w:basedOn w:val="686"/>
    <w:link w:val="877"/>
    <w:uiPriority w:val="11"/>
    <w:rPr>
      <w:rFonts w:eastAsiaTheme="minorEastAsia"/>
      <w:color w:val="5a5a5a" w:themeColor="text1" w:themeTint="A5"/>
      <w:spacing w:val="15"/>
    </w:rPr>
  </w:style>
  <w:style w:type="paragraph" w:styleId="879">
    <w:name w:val="Plain Text"/>
    <w:basedOn w:val="676"/>
    <w:link w:val="880"/>
    <w:unhideWhenUsed/>
    <w:pPr>
      <w:spacing w:after="0" w:line="240" w:lineRule="auto"/>
    </w:pPr>
    <w:rPr>
      <w:rFonts w:ascii="Calibri" w:hAnsi="Calibri" w:eastAsia="Calibri" w:cs="Times New Roman"/>
      <w:szCs w:val="21"/>
    </w:rPr>
  </w:style>
  <w:style w:type="character" w:styleId="880" w:customStyle="1">
    <w:name w:val="Текст Знак"/>
    <w:basedOn w:val="686"/>
    <w:link w:val="879"/>
    <w:rPr>
      <w:rFonts w:ascii="Calibri" w:hAnsi="Calibri" w:eastAsia="Calibri" w:cs="Times New Roman"/>
      <w:szCs w:val="21"/>
    </w:rPr>
  </w:style>
  <w:style w:type="character" w:styleId="881">
    <w:name w:val="Emphasis"/>
    <w:basedOn w:val="686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Богданович Крыль</dc:creator>
  <cp:keywords/>
  <dc:description/>
  <cp:lastModifiedBy>ovchinnikovaev</cp:lastModifiedBy>
  <cp:revision>178</cp:revision>
  <dcterms:created xsi:type="dcterms:W3CDTF">2024-12-16T06:16:00Z</dcterms:created>
  <dcterms:modified xsi:type="dcterms:W3CDTF">2025-04-09T06:19:13Z</dcterms:modified>
</cp:coreProperties>
</file>